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1794" w14:textId="77777777" w:rsidR="001417E5" w:rsidRDefault="001417E5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70C1C33B" w:rsidR="00CE5FA8" w:rsidRPr="001C6C3C" w:rsidRDefault="003905D7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>
        <w:rPr>
          <w:rFonts w:ascii="GHEA Grapalat" w:hAnsi="GHEA Grapalat"/>
          <w:b/>
          <w:i w:val="0"/>
          <w:sz w:val="22"/>
          <w:szCs w:val="22"/>
          <w:lang w:val="hy-AM"/>
        </w:rPr>
        <w:t>24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9207BC" w:rsidRPr="009207BC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="00374A00" w:rsidRPr="00374A00">
        <w:rPr>
          <w:rFonts w:ascii="GHEA Grapalat" w:hAnsi="GHEA Grapalat"/>
          <w:b/>
          <w:i w:val="0"/>
          <w:sz w:val="22"/>
          <w:szCs w:val="22"/>
          <w:lang w:val="ru-RU"/>
        </w:rPr>
        <w:t>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67C765E1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3905D7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ՀՀ-ԲԾ-Ա-ԲՄԾՁԲ-25/147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  </w:t>
      </w:r>
    </w:p>
    <w:p w14:paraId="74C1F25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5A5E36A8" w:rsidR="00CE5FA8" w:rsidRPr="00374A00" w:rsidRDefault="00464242" w:rsidP="00464242">
      <w:pPr>
        <w:pStyle w:val="a3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 xml:space="preserve">приобретения </w:t>
      </w:r>
      <w:r w:rsidR="00FD19C9" w:rsidRPr="00FD19C9">
        <w:rPr>
          <w:rFonts w:ascii="GHEA Grapalat" w:eastAsia="Calibri" w:hAnsi="GHEA Grapalat"/>
          <w:lang w:val="ru-RU"/>
        </w:rPr>
        <w:t>Консультационные услуги по укреплению возможностей Службы Эко-патрулирования</w:t>
      </w:r>
      <w:r w:rsidR="00FD19C9" w:rsidRPr="00FD19C9">
        <w:rPr>
          <w:rFonts w:ascii="GHEA Grapalat" w:hAnsi="GHEA Grapalat"/>
          <w:i w:val="0"/>
          <w:lang w:val="ru-RU"/>
        </w:rPr>
        <w:t xml:space="preserve"> </w:t>
      </w:r>
      <w:r w:rsidRPr="00FD19C9">
        <w:rPr>
          <w:rFonts w:ascii="GHEA Grapalat" w:hAnsi="GHEA Grapalat"/>
          <w:i w:val="0"/>
          <w:lang w:val="ru-RU"/>
        </w:rPr>
        <w:t>в рамках</w:t>
      </w:r>
      <w:r w:rsidRPr="00374A00">
        <w:rPr>
          <w:rFonts w:ascii="GHEA Grapalat" w:hAnsi="GHEA Grapalat"/>
          <w:i w:val="0"/>
          <w:lang w:val="ru-RU"/>
        </w:rPr>
        <w:t xml:space="preserve"> второй программы</w:t>
      </w:r>
      <w:r w:rsidRPr="00464242">
        <w:rPr>
          <w:i w:val="0"/>
          <w:lang w:val="ru-RU"/>
        </w:rPr>
        <w:t xml:space="preserve">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</w:p>
    <w:p w14:paraId="22A984D0" w14:textId="77777777" w:rsidR="00464242" w:rsidRPr="001C6C3C" w:rsidRDefault="00464242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3905D7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1E54C338" w:rsidR="001417E5" w:rsidRPr="00FD19C9" w:rsidRDefault="00FD19C9" w:rsidP="001417E5">
            <w:pPr>
              <w:ind w:left="-94" w:right="-108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FD19C9">
              <w:rPr>
                <w:rFonts w:ascii="GHEA Grapalat" w:eastAsia="Calibri" w:hAnsi="GHEA Grapalat"/>
                <w:sz w:val="20"/>
                <w:szCs w:val="20"/>
                <w:lang w:val="ru-RU"/>
              </w:rPr>
              <w:t>Консультационные услуги по укреплению возможностей Службы Эко-патрулирования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afe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FD19C9" w:rsidRPr="001533AF" w14:paraId="660ADA24" w14:textId="77777777" w:rsidTr="00FD19C9">
        <w:tc>
          <w:tcPr>
            <w:tcW w:w="10319" w:type="dxa"/>
          </w:tcPr>
          <w:p w14:paraId="6D11FC59" w14:textId="77777777" w:rsidR="00FD19C9" w:rsidRPr="001533AF" w:rsidRDefault="00FD19C9" w:rsidP="00945393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D31D5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услуг</w:t>
            </w:r>
            <w:proofErr w:type="spellEnd"/>
          </w:p>
        </w:tc>
      </w:tr>
      <w:tr w:rsidR="00FD19C9" w:rsidRPr="003905D7" w14:paraId="1DEB7B51" w14:textId="77777777" w:rsidTr="00FD19C9">
        <w:tc>
          <w:tcPr>
            <w:tcW w:w="10319" w:type="dxa"/>
          </w:tcPr>
          <w:p w14:paraId="495F8200" w14:textId="77777777" w:rsidR="00FD19C9" w:rsidRDefault="00FD19C9" w:rsidP="00945393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Целью предоставления консультационных услуг является разработка 3 стратегических документов, определенных программой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поддедржки</w:t>
            </w:r>
            <w:proofErr w:type="spellEnd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подготовленности «Адресация неотложных потребностей в подготовленности Армении к осуществлению мер по борьбе с изменением климата на 2-м этапе пополнения ЗКФ-а», для реализации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подрезультат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1.3.1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, в том числе:</w:t>
            </w:r>
          </w:p>
          <w:p w14:paraId="700B1B8E" w14:textId="77777777" w:rsidR="00FD19C9" w:rsidRPr="00341019" w:rsidRDefault="00FD19C9" w:rsidP="00945393">
            <w:pPr>
              <w:ind w:firstLine="624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Подрезультат</w:t>
            </w:r>
            <w:proofErr w:type="spellEnd"/>
            <w:r w:rsidRPr="0034101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34101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Разработка отсутствующих политик и регулятивной базы Службы эко-патрулирования (СЭП), привлечение и обучение соответствующих заинтересованных сторон для поддержки планирования, программирования и реализации мероприятий, финансируемых Зеленым климатическим фондом (ЗКФ).</w:t>
            </w:r>
          </w:p>
          <w:p w14:paraId="752D0374" w14:textId="77777777" w:rsidR="00FD19C9" w:rsidRPr="007F5D55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Конечный</w:t>
            </w:r>
            <w:r w:rsidRPr="007F5D55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результат</w:t>
            </w:r>
            <w:r w:rsidRPr="007F5D55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: </w:t>
            </w:r>
            <w:r w:rsidRPr="007F5D55">
              <w:rPr>
                <w:rFonts w:ascii="Sylfaen" w:eastAsia="MS Mincho" w:hAnsi="Sylfaen" w:cs="MS Mincho"/>
                <w:sz w:val="20"/>
                <w:szCs w:val="20"/>
                <w:lang w:val="ru-RU"/>
              </w:rPr>
              <w:t>Расширение возможностей СЭП за счет совершенствования ее регулятивной базы и возможностей соответствующих заинтересованных сторон</w:t>
            </w:r>
          </w:p>
          <w:p w14:paraId="5AEA767F" w14:textId="77777777" w:rsidR="00FD19C9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</w:p>
          <w:p w14:paraId="6FD0BBA1" w14:textId="77777777" w:rsidR="00FD19C9" w:rsidRDefault="00FD19C9" w:rsidP="00945393">
            <w:pPr>
              <w:ind w:firstLine="624"/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  <w:t>Действие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058F5">
              <w:rPr>
                <w:rFonts w:ascii="Sylfaen" w:eastAsia="MS Mincho" w:hAnsi="Sylfaen" w:cs="Sylfaen"/>
                <w:sz w:val="20"/>
                <w:szCs w:val="20"/>
                <w:u w:val="single"/>
                <w:lang w:val="ru-RU"/>
              </w:rPr>
              <w:t>Анализ пробелов в политике и регулятивной базе СЭП в контексте потенциального участия в планировании, программировании и реализации мероприятий, финансируемых из ЗКФ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35BAF2FE" w14:textId="77777777" w:rsidR="00FD19C9" w:rsidRPr="003F13F3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Меры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  <w:p w14:paraId="6008DC81" w14:textId="77777777" w:rsidR="00FD19C9" w:rsidRPr="003F13F3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20086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Аналитический обзор регулятивной базы </w:t>
            </w:r>
            <w:r w:rsidRPr="005E027E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A20086">
              <w:rPr>
                <w:rFonts w:ascii="GHEA Grapalat" w:hAnsi="GHEA Grapalat" w:cs="Calibri"/>
                <w:sz w:val="20"/>
                <w:szCs w:val="20"/>
                <w:lang w:val="ru-RU"/>
              </w:rPr>
              <w:t>(включая, но не ограничиваясь политиками, справочниками, стратегическими документами, законами, подзаконными актами, уставом или аналогичными документами ...), сравнение с требованиями ЗКФ и составление длинного списка пробелов.</w:t>
            </w:r>
          </w:p>
          <w:p w14:paraId="4F001FB9" w14:textId="77777777" w:rsidR="00FD19C9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5E027E">
              <w:rPr>
                <w:rFonts w:ascii="GHEA Grapalat" w:hAnsi="GHEA Grapalat" w:cs="Calibri"/>
                <w:sz w:val="20"/>
                <w:szCs w:val="20"/>
                <w:lang w:val="ru-RU"/>
              </w:rPr>
              <w:t>Периодические консультации с СЭП для проведения анализа и согласования краткого списка пробелов, который должен включать не менее 7 регулятивн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ых </w:t>
            </w:r>
            <w:r w:rsidRPr="005E027E">
              <w:rPr>
                <w:rFonts w:ascii="GHEA Grapalat" w:hAnsi="GHEA Grapalat" w:cs="Calibri"/>
                <w:sz w:val="20"/>
                <w:szCs w:val="20"/>
                <w:lang w:val="ru-RU"/>
              </w:rPr>
              <w:t>документов.</w:t>
            </w:r>
            <w:r w:rsidRPr="00A531B4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52CDD466" w14:textId="77777777" w:rsidR="00FD19C9" w:rsidRPr="003F13F3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lang w:val="ru-RU"/>
              </w:rPr>
              <w:t>Отчет с кратким изложением анализа пробелов, включая выявленный краткий перечень, выводы и рекомендации о том, как устранить пробелы.</w:t>
            </w:r>
            <w:r w:rsidRPr="0017403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3D5A1EE0" w14:textId="77777777" w:rsidR="00FD19C9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</w:p>
          <w:p w14:paraId="455F5EB3" w14:textId="77777777" w:rsidR="00FD19C9" w:rsidRPr="00773E32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Действие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2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773E32">
              <w:rPr>
                <w:rFonts w:ascii="Sylfaen" w:eastAsia="MS Mincho" w:hAnsi="Sylfaen" w:cs="MS Mincho"/>
                <w:sz w:val="20"/>
                <w:szCs w:val="20"/>
                <w:u w:val="single"/>
                <w:lang w:val="ru-RU"/>
              </w:rPr>
              <w:t>Разработка выявленных отсутствующих документов политики и регулятивной базы</w:t>
            </w:r>
          </w:p>
          <w:p w14:paraId="76C0E55F" w14:textId="77777777" w:rsidR="00FD19C9" w:rsidRPr="003F13F3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lang w:val="hy-AM"/>
              </w:rPr>
              <w:t>Меры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  <w:p w14:paraId="612C6060" w14:textId="77777777" w:rsidR="00FD19C9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06867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Разработка не менее 7 идентифицированных документов в соответствии с </w:t>
            </w:r>
            <w:r w:rsidRPr="00773E32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требованиями </w:t>
            </w:r>
            <w:r w:rsidRPr="00906867">
              <w:rPr>
                <w:rFonts w:ascii="GHEA Grapalat" w:hAnsi="GHEA Grapalat" w:cs="Calibri"/>
                <w:sz w:val="20"/>
                <w:szCs w:val="20"/>
                <w:lang w:val="ru-RU"/>
              </w:rPr>
              <w:t>ЗКФ и национальными требованиями.</w:t>
            </w:r>
          </w:p>
          <w:p w14:paraId="7E7A2E3E" w14:textId="77777777" w:rsidR="00FD19C9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</w:p>
          <w:p w14:paraId="304D0BE4" w14:textId="77777777" w:rsidR="00FD19C9" w:rsidRPr="009B0BC4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Действие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3</w:t>
            </w:r>
            <w:r w:rsidRPr="00D026D7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9B0BC4"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  <w:t>Вовлечение и обучение соответствующих заинтересованных сторон для обеспечения их потенциала в контексте участия в планировании, программировании и осуществлении мероприятий, финансируемых из ЗКФ</w:t>
            </w:r>
          </w:p>
          <w:p w14:paraId="16CDFDFA" w14:textId="77777777" w:rsidR="00FD19C9" w:rsidRPr="000B76F3" w:rsidRDefault="00FD19C9" w:rsidP="00945393">
            <w:pPr>
              <w:ind w:firstLine="624"/>
              <w:rPr>
                <w:rFonts w:cs="Calibri"/>
                <w:sz w:val="20"/>
                <w:szCs w:val="20"/>
                <w:lang w:val="hy-AM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lang w:val="hy-AM"/>
              </w:rPr>
              <w:t>Меры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  <w:p w14:paraId="7795129E" w14:textId="77777777" w:rsidR="00FD19C9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17809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Определение в результате консультаций с </w:t>
            </w: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017809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350 сотрудников </w:t>
            </w: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017809">
              <w:rPr>
                <w:rFonts w:ascii="GHEA Grapalat" w:hAnsi="GHEA Grapalat" w:cs="Calibri"/>
                <w:sz w:val="20"/>
                <w:szCs w:val="20"/>
                <w:lang w:val="ru-RU"/>
              </w:rPr>
              <w:t>(не менее 40% из которых женщины) для участия в мероприятиях по наращиванию потенциала.</w:t>
            </w:r>
            <w:r w:rsidRPr="00C73C7D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2CF83D72" w14:textId="77777777" w:rsidR="00FD19C9" w:rsidRPr="00B034E0" w:rsidRDefault="00FD19C9" w:rsidP="00FD19C9">
            <w:pPr>
              <w:pStyle w:val="aff"/>
              <w:numPr>
                <w:ilvl w:val="0"/>
                <w:numId w:val="33"/>
              </w:numPr>
              <w:tabs>
                <w:tab w:val="left" w:pos="630"/>
              </w:tabs>
              <w:ind w:left="1086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Разработка </w:t>
            </w:r>
            <w:r w:rsidRPr="009715C2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в результате консультаций с </w:t>
            </w: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соответствующего плана обучения, позволяющего эффективно использовать недавно 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разработанные</w:t>
            </w: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политики и </w:t>
            </w:r>
            <w:r w:rsidRPr="009715C2">
              <w:rPr>
                <w:rFonts w:ascii="GHEA Grapalat" w:hAnsi="GHEA Grapalat" w:cs="Calibri"/>
                <w:sz w:val="20"/>
                <w:szCs w:val="20"/>
                <w:lang w:val="ru-RU"/>
              </w:rPr>
              <w:t>регулятивн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ую </w:t>
            </w: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>базу.</w:t>
            </w:r>
            <w:r w:rsidRPr="00B034E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4A5A169B" w14:textId="77777777" w:rsidR="00FD19C9" w:rsidRPr="00B034E0" w:rsidRDefault="00FD19C9" w:rsidP="00FD19C9">
            <w:pPr>
              <w:pStyle w:val="aff"/>
              <w:numPr>
                <w:ilvl w:val="0"/>
                <w:numId w:val="33"/>
              </w:numPr>
              <w:tabs>
                <w:tab w:val="left" w:pos="630"/>
              </w:tabs>
              <w:ind w:left="1086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>Осуществление 7 мероприятий по наращиванию потенциала и подготовка краткого отчета.</w:t>
            </w:r>
          </w:p>
          <w:p w14:paraId="7D220A20" w14:textId="77777777" w:rsidR="00FD19C9" w:rsidRPr="00A30F91" w:rsidRDefault="00FD19C9" w:rsidP="00945393">
            <w:pPr>
              <w:pStyle w:val="aff"/>
              <w:ind w:left="1086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ED0C0BF" w14:textId="77777777" w:rsidR="00464242" w:rsidRPr="00090AD5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56"/>
        <w:gridCol w:w="4832"/>
      </w:tblGrid>
      <w:tr w:rsidR="00FD19C9" w:rsidRPr="00CF07D3" w14:paraId="58CEF992" w14:textId="77777777" w:rsidTr="00945393">
        <w:tc>
          <w:tcPr>
            <w:tcW w:w="5056" w:type="dxa"/>
          </w:tcPr>
          <w:p w14:paraId="5A329C3F" w14:textId="77777777" w:rsidR="00FD19C9" w:rsidRPr="001533AF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Условия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предъявляемые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опыту</w:t>
            </w:r>
            <w:proofErr w:type="spellEnd"/>
          </w:p>
        </w:tc>
        <w:tc>
          <w:tcPr>
            <w:tcW w:w="4832" w:type="dxa"/>
          </w:tcPr>
          <w:p w14:paraId="62A115D2" w14:textId="77777777" w:rsidR="00FD19C9" w:rsidRPr="001533AF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Документы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подтверждающие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</w:t>
            </w:r>
            <w:proofErr w:type="spellEnd"/>
          </w:p>
        </w:tc>
      </w:tr>
      <w:tr w:rsidR="00FD19C9" w:rsidRPr="003905D7" w14:paraId="4BFFB4AF" w14:textId="77777777" w:rsidTr="00945393">
        <w:tc>
          <w:tcPr>
            <w:tcW w:w="5056" w:type="dxa"/>
          </w:tcPr>
          <w:p w14:paraId="17493F8A" w14:textId="77777777" w:rsidR="00FD19C9" w:rsidRPr="00E952C8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E952C8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Опыт разработки документов в контексте планирования и/или программирования и/или реализации программ, финансируемых Зеленым климатическим фондом.</w:t>
            </w:r>
          </w:p>
        </w:tc>
        <w:tc>
          <w:tcPr>
            <w:tcW w:w="4832" w:type="dxa"/>
          </w:tcPr>
          <w:p w14:paraId="70176161" w14:textId="5F903BD0" w:rsidR="00FD19C9" w:rsidRPr="00741BF9" w:rsidRDefault="00FD19C9" w:rsidP="00766374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AA56BB">
              <w:rPr>
                <w:rFonts w:ascii="GHEA Grapalat" w:hAnsi="GHEA Grapalat"/>
                <w:lang w:val="hy-AM"/>
              </w:rPr>
              <w:t xml:space="preserve">Участник должен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предоставить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минимум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один</w:t>
            </w:r>
            <w:r w:rsidRPr="00360DD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360DDC">
              <w:rPr>
                <w:rFonts w:ascii="GHEA Grapalat" w:hAnsi="GHEA Grapalat"/>
                <w:lang w:val="ru-RU"/>
              </w:rPr>
              <w:t>один</w:t>
            </w:r>
            <w:proofErr w:type="spellEnd"/>
            <w:r w:rsidRPr="00360DDC">
              <w:rPr>
                <w:rFonts w:ascii="GHEA Grapalat" w:hAnsi="GHEA Grapalat"/>
                <w:lang w:val="ru-RU"/>
              </w:rPr>
              <w:t xml:space="preserve"> договор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, надлежащим образом реализованный в течение года подачи заявки и предшествующих ему 5 лет,</w:t>
            </w:r>
            <w:r w:rsidRPr="00360DDC">
              <w:rPr>
                <w:rFonts w:ascii="GHEA Grapalat" w:hAnsi="GHEA Grapalat"/>
                <w:lang w:val="ru-RU"/>
              </w:rPr>
              <w:t xml:space="preserve"> </w:t>
            </w:r>
            <w:r w:rsidRPr="00766374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 оказание услуг по разработке документов в контексте планирования и/или программирования и/или реализации программ, финансируемых ЗКФ  на сумму, эквивалентную не менее </w:t>
            </w:r>
            <w:r w:rsidR="00766374" w:rsidRPr="0076637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66374">
              <w:rPr>
                <w:rFonts w:ascii="GHEA Grapalat" w:hAnsi="GHEA Grapalat"/>
                <w:sz w:val="20"/>
                <w:szCs w:val="20"/>
                <w:lang w:val="ru-RU"/>
              </w:rPr>
              <w:t>0 000 долларов США.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FD19C9" w:rsidRPr="003905D7" w14:paraId="4F3DF788" w14:textId="77777777" w:rsidTr="00945393">
        <w:tc>
          <w:tcPr>
            <w:tcW w:w="5056" w:type="dxa"/>
          </w:tcPr>
          <w:p w14:paraId="2BC36D86" w14:textId="77777777" w:rsidR="00FD19C9" w:rsidRPr="0050424A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50424A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разработки программ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повысшения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квалификации</w:t>
            </w:r>
            <w:r w:rsidRPr="0050424A">
              <w:rPr>
                <w:rFonts w:ascii="GHEA Grapalat" w:hAnsi="GHEA Grapalat"/>
                <w:sz w:val="20"/>
                <w:szCs w:val="20"/>
                <w:lang w:val="ru-RU"/>
              </w:rPr>
              <w:t xml:space="preserve"> и их реализации.</w:t>
            </w:r>
          </w:p>
        </w:tc>
        <w:tc>
          <w:tcPr>
            <w:tcW w:w="4832" w:type="dxa"/>
          </w:tcPr>
          <w:p w14:paraId="034D8041" w14:textId="6470991A" w:rsidR="00FD19C9" w:rsidRPr="006133EA" w:rsidRDefault="00FD19C9" w:rsidP="00766374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Участник должен предоставить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минимум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один договор, надлежащим образом реализованный в течение года подачи заявки и предшествующих ему 5 лет, на оказание услуг, связанных с 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разработк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ой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и имплементацией программ </w:t>
            </w:r>
            <w:r w:rsidRPr="006032F6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lastRenderedPageBreak/>
              <w:t>повысшения квалификации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, на сумму, эквивалентную не менее </w:t>
            </w:r>
            <w:r w:rsidR="00766374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0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000 долларов США.</w:t>
            </w:r>
          </w:p>
        </w:tc>
      </w:tr>
    </w:tbl>
    <w:p w14:paraId="4E47F01C" w14:textId="77777777" w:rsidR="00464242" w:rsidRPr="003E09C9" w:rsidRDefault="00464242" w:rsidP="003E09C9">
      <w:pPr>
        <w:pStyle w:val="aff"/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p w14:paraId="2A2D6227" w14:textId="77777777" w:rsidR="00C42B4C" w:rsidRPr="00FD19C9" w:rsidRDefault="00C42B4C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  <w:r w:rsidRPr="00FD19C9">
        <w:rPr>
          <w:rFonts w:ascii="GHEA Grapalat" w:hAnsi="GHEA Grapalat"/>
          <w:noProof/>
          <w:sz w:val="20"/>
          <w:szCs w:val="20"/>
          <w:lang w:val="ru-RU"/>
        </w:rPr>
        <w:t xml:space="preserve">                 </w:t>
      </w:r>
    </w:p>
    <w:tbl>
      <w:tblPr>
        <w:tblW w:w="99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3060"/>
        <w:gridCol w:w="2610"/>
        <w:gridCol w:w="2070"/>
      </w:tblGrid>
      <w:tr w:rsidR="00A51187" w:rsidRPr="001533AF" w14:paraId="33D8BBA7" w14:textId="77777777" w:rsidTr="00A51187">
        <w:tc>
          <w:tcPr>
            <w:tcW w:w="7891" w:type="dxa"/>
            <w:gridSpan w:val="3"/>
          </w:tcPr>
          <w:p w14:paraId="30884C13" w14:textId="77777777" w:rsidR="00A51187" w:rsidRPr="00F9741B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2070" w:type="dxa"/>
          </w:tcPr>
          <w:p w14:paraId="77DB51A9" w14:textId="77777777" w:rsidR="00A51187" w:rsidRPr="001533AF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A51187" w:rsidRPr="001533AF" w14:paraId="27B83632" w14:textId="77777777" w:rsidTr="00A51187">
        <w:tc>
          <w:tcPr>
            <w:tcW w:w="2221" w:type="dxa"/>
          </w:tcPr>
          <w:p w14:paraId="1CA3C7DE" w14:textId="77777777" w:rsidR="00A51187" w:rsidRPr="001533AF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Квалификация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52374D17" w14:textId="77777777" w:rsidR="00A51187" w:rsidRPr="001533AF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требования к квалификации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14:paraId="2E954319" w14:textId="77777777" w:rsidR="00A51187" w:rsidRPr="008F4B91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gram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документы</w:t>
            </w:r>
            <w:proofErr w:type="gram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подтверждающие квалификацию</w:t>
            </w:r>
          </w:p>
        </w:tc>
        <w:tc>
          <w:tcPr>
            <w:tcW w:w="2070" w:type="dxa"/>
          </w:tcPr>
          <w:p w14:paraId="2F3BE475" w14:textId="77777777" w:rsidR="00A51187" w:rsidRPr="00F9741B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Уудельный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ве</w:t>
            </w:r>
            <w:proofErr w:type="spellEnd"/>
          </w:p>
        </w:tc>
      </w:tr>
      <w:tr w:rsidR="00A51187" w:rsidRPr="009E5022" w14:paraId="7B160A2E" w14:textId="77777777" w:rsidTr="00A51187">
        <w:trPr>
          <w:trHeight w:val="706"/>
        </w:trPr>
        <w:tc>
          <w:tcPr>
            <w:tcW w:w="2221" w:type="dxa"/>
            <w:vMerge w:val="restart"/>
          </w:tcPr>
          <w:p w14:paraId="6103DFE6" w14:textId="77777777" w:rsidR="00A51187" w:rsidRPr="00DD08D1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DD08D1">
              <w:rPr>
                <w:rFonts w:ascii="GHEA Grapalat" w:hAnsi="GHEA Grapalat"/>
                <w:sz w:val="20"/>
                <w:szCs w:val="20"/>
                <w:lang w:val="ru-RU"/>
              </w:rPr>
              <w:t>Международный консультант по разработке климатической политики</w:t>
            </w:r>
          </w:p>
        </w:tc>
        <w:tc>
          <w:tcPr>
            <w:tcW w:w="3060" w:type="dxa"/>
          </w:tcPr>
          <w:p w14:paraId="6CB15C2F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6B2A6AE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55465F4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21D81E7B" w14:textId="77777777" w:rsidR="00A51187" w:rsidRPr="00135F0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A51187" w:rsidRPr="003905D7" w14:paraId="19B2FDB7" w14:textId="77777777" w:rsidTr="00A51187">
        <w:trPr>
          <w:trHeight w:val="440"/>
        </w:trPr>
        <w:tc>
          <w:tcPr>
            <w:tcW w:w="2221" w:type="dxa"/>
            <w:vMerge/>
          </w:tcPr>
          <w:p w14:paraId="17917B14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32B6530" w14:textId="77777777" w:rsidR="00A51187" w:rsidRPr="000777F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0777F8">
              <w:rPr>
                <w:rFonts w:ascii="GHEA Grapalat" w:hAnsi="GHEA Grapalat"/>
                <w:sz w:val="20"/>
                <w:szCs w:val="20"/>
                <w:lang w:val="hy-AM"/>
              </w:rPr>
              <w:t xml:space="preserve">Общий опыт работы не менее 4 лет за последние 5 лет </w:t>
            </w:r>
            <w:r w:rsidRPr="00401E23">
              <w:rPr>
                <w:rFonts w:ascii="GHEA Grapalat" w:hAnsi="GHEA Grapalat"/>
                <w:sz w:val="20"/>
                <w:szCs w:val="20"/>
                <w:lang w:val="ru-RU"/>
              </w:rPr>
              <w:t>о разработке регулятивной базы в области климата в контексте сотрудничества с ЗКФ</w:t>
            </w:r>
            <w:r w:rsidRPr="00401E2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777F8">
              <w:rPr>
                <w:rFonts w:ascii="GHEA Grapalat" w:hAnsi="GHEA Grapalat"/>
                <w:sz w:val="20"/>
                <w:szCs w:val="20"/>
                <w:lang w:val="hy-AM"/>
              </w:rPr>
              <w:t>(региональный опыт будет рассматриваться как преимущество),</w:t>
            </w:r>
          </w:p>
        </w:tc>
        <w:tc>
          <w:tcPr>
            <w:tcW w:w="2610" w:type="dxa"/>
          </w:tcPr>
          <w:p w14:paraId="72D5C1BE" w14:textId="77777777" w:rsidR="00A51187" w:rsidRPr="00F66B75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0D769807" w14:textId="77777777" w:rsidR="00A51187" w:rsidRPr="009400F4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балл, региональный опыт +2 балла)</w:t>
            </w:r>
          </w:p>
        </w:tc>
      </w:tr>
      <w:tr w:rsidR="00A51187" w:rsidRPr="003905D7" w14:paraId="293A77B8" w14:textId="77777777" w:rsidTr="00A51187">
        <w:trPr>
          <w:trHeight w:val="1725"/>
        </w:trPr>
        <w:tc>
          <w:tcPr>
            <w:tcW w:w="2221" w:type="dxa"/>
            <w:vMerge/>
          </w:tcPr>
          <w:p w14:paraId="02BC1FAA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617697E" w14:textId="77777777" w:rsidR="00A51187" w:rsidRPr="001A3BD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10" w:type="dxa"/>
          </w:tcPr>
          <w:p w14:paraId="4B36CB1C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101AD4D2" w14:textId="77777777" w:rsidR="00A51187" w:rsidRPr="00242576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242576">
              <w:rPr>
                <w:rFonts w:ascii="GHEA Grapalat" w:hAnsi="GHEA Grapalat" w:cs="Arial Armenian"/>
                <w:sz w:val="20"/>
                <w:lang w:val="ru-RU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706336CE" w14:textId="77777777" w:rsidR="00A51187" w:rsidRPr="00242576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42576">
              <w:rPr>
                <w:rFonts w:ascii="GHEA Grapalat" w:hAnsi="GHEA Grapalat"/>
                <w:sz w:val="20"/>
                <w:szCs w:val="20"/>
                <w:lang w:val="ru-RU"/>
              </w:rPr>
              <w:t>5 баллов (знание армянского языка будет оценено +2 балла)</w:t>
            </w:r>
          </w:p>
        </w:tc>
      </w:tr>
      <w:tr w:rsidR="00A51187" w:rsidRPr="009E5022" w14:paraId="03921342" w14:textId="77777777" w:rsidTr="00A51187">
        <w:trPr>
          <w:trHeight w:val="2092"/>
        </w:trPr>
        <w:tc>
          <w:tcPr>
            <w:tcW w:w="2221" w:type="dxa"/>
            <w:vMerge w:val="restart"/>
          </w:tcPr>
          <w:p w14:paraId="430FA37D" w14:textId="77777777" w:rsidR="00A51187" w:rsidRPr="00401E23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Национальный к</w:t>
            </w:r>
            <w:r w:rsidRPr="00401E23">
              <w:rPr>
                <w:rFonts w:ascii="GHEA Grapalat" w:hAnsi="GHEA Grapalat"/>
                <w:sz w:val="20"/>
                <w:szCs w:val="20"/>
                <w:lang w:val="ru-RU"/>
              </w:rPr>
              <w:t>онсультант по оценке потребностей</w:t>
            </w:r>
          </w:p>
        </w:tc>
        <w:tc>
          <w:tcPr>
            <w:tcW w:w="3060" w:type="dxa"/>
          </w:tcPr>
          <w:p w14:paraId="49FFBD7D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международное развитие/отношения, </w:t>
            </w:r>
            <w:r w:rsidRPr="002710C3">
              <w:rPr>
                <w:rFonts w:ascii="GHEA Grapalat" w:hAnsi="GHEA Grapalat"/>
                <w:sz w:val="20"/>
                <w:szCs w:val="20"/>
                <w:lang w:val="ru-RU"/>
              </w:rPr>
              <w:t>государственное управление, юриспруденция</w:t>
            </w:r>
            <w:r w:rsidRPr="000D7F88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73153E65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1107AEAB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6EC480E7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3905D7" w14:paraId="5D286502" w14:textId="77777777" w:rsidTr="00A51187">
        <w:trPr>
          <w:trHeight w:val="1630"/>
        </w:trPr>
        <w:tc>
          <w:tcPr>
            <w:tcW w:w="2221" w:type="dxa"/>
            <w:vMerge/>
          </w:tcPr>
          <w:p w14:paraId="15F98FD7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20FDBD0" w14:textId="77777777" w:rsidR="00A51187" w:rsidRPr="002C2FA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5707096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559C02E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3905D7" w14:paraId="6D19FF17" w14:textId="77777777" w:rsidTr="00A51187">
        <w:trPr>
          <w:trHeight w:val="1168"/>
        </w:trPr>
        <w:tc>
          <w:tcPr>
            <w:tcW w:w="2221" w:type="dxa"/>
            <w:vMerge/>
          </w:tcPr>
          <w:p w14:paraId="71B7D8B0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500C569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79A20F27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592C4C58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1379AB8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3DB53E0B" w14:textId="77777777" w:rsidR="00A51187" w:rsidRPr="001665B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1F8D9FE6" w14:textId="77777777" w:rsidTr="00A51187">
        <w:trPr>
          <w:trHeight w:val="440"/>
        </w:trPr>
        <w:tc>
          <w:tcPr>
            <w:tcW w:w="2221" w:type="dxa"/>
            <w:vMerge w:val="restart"/>
          </w:tcPr>
          <w:p w14:paraId="195C000E" w14:textId="77777777" w:rsidR="00A51187" w:rsidRPr="002710C3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0C3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институциональному развитию и </w:t>
            </w:r>
            <w:r w:rsidRPr="002710C3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наращиванию потенциала</w:t>
            </w:r>
          </w:p>
        </w:tc>
        <w:tc>
          <w:tcPr>
            <w:tcW w:w="3060" w:type="dxa"/>
          </w:tcPr>
          <w:p w14:paraId="797AE5BC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финансы, международное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7ACC5687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0C20755A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442BE5C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3905D7" w14:paraId="506D1099" w14:textId="77777777" w:rsidTr="00A51187">
        <w:trPr>
          <w:trHeight w:val="1222"/>
        </w:trPr>
        <w:tc>
          <w:tcPr>
            <w:tcW w:w="2221" w:type="dxa"/>
            <w:vMerge/>
          </w:tcPr>
          <w:p w14:paraId="173BF12E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1A03525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2A23B89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376C4A5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3905D7" w14:paraId="09B93DE2" w14:textId="77777777" w:rsidTr="00A51187">
        <w:trPr>
          <w:trHeight w:val="1155"/>
        </w:trPr>
        <w:tc>
          <w:tcPr>
            <w:tcW w:w="2221" w:type="dxa"/>
            <w:vMerge/>
          </w:tcPr>
          <w:p w14:paraId="03229660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0EF9DB7" w14:textId="77777777" w:rsidR="00A51187" w:rsidRPr="00E8065E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3826234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1BFE44E0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04A5130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BD6C7BB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2C3293F9" w14:textId="77777777" w:rsidTr="00A51187">
        <w:trPr>
          <w:trHeight w:val="1223"/>
        </w:trPr>
        <w:tc>
          <w:tcPr>
            <w:tcW w:w="2221" w:type="dxa"/>
            <w:vMerge w:val="restart"/>
          </w:tcPr>
          <w:p w14:paraId="2287BEA0" w14:textId="77777777" w:rsidR="00A51187" w:rsidRPr="00605A1E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E2619C">
              <w:rPr>
                <w:rFonts w:ascii="GHEA Grapalat" w:hAnsi="GHEA Grapalat"/>
                <w:sz w:val="20"/>
                <w:szCs w:val="20"/>
              </w:rPr>
              <w:t>Отраслевой</w:t>
            </w:r>
            <w:proofErr w:type="spellEnd"/>
            <w:r w:rsidRPr="00E261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619C">
              <w:rPr>
                <w:rFonts w:ascii="GHEA Grapalat" w:hAnsi="GHEA Grapalat"/>
                <w:sz w:val="20"/>
                <w:szCs w:val="20"/>
              </w:rPr>
              <w:t>национальный</w:t>
            </w:r>
            <w:proofErr w:type="spellEnd"/>
            <w:r w:rsidRPr="00E261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619C">
              <w:rPr>
                <w:rFonts w:ascii="GHEA Grapalat" w:hAnsi="GHEA Grapalat"/>
                <w:sz w:val="20"/>
                <w:szCs w:val="20"/>
              </w:rPr>
              <w:t>консультант</w:t>
            </w:r>
            <w:proofErr w:type="spellEnd"/>
          </w:p>
        </w:tc>
        <w:tc>
          <w:tcPr>
            <w:tcW w:w="3060" w:type="dxa"/>
          </w:tcPr>
          <w:p w14:paraId="4CA8CA74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026BA52D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6AC6B7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4FA29B74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3905D7" w14:paraId="07C05027" w14:textId="77777777" w:rsidTr="00A51187">
        <w:trPr>
          <w:trHeight w:val="2513"/>
        </w:trPr>
        <w:tc>
          <w:tcPr>
            <w:tcW w:w="2221" w:type="dxa"/>
            <w:vMerge/>
          </w:tcPr>
          <w:p w14:paraId="2B638157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3659DD4" w14:textId="77777777" w:rsidR="00A51187" w:rsidRPr="002245B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опыт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работы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не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менее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4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лет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за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последние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5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лет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в контексте экологического мониторинга и/или надзора,</w:t>
            </w:r>
          </w:p>
        </w:tc>
        <w:tc>
          <w:tcPr>
            <w:tcW w:w="2610" w:type="dxa"/>
          </w:tcPr>
          <w:p w14:paraId="0C64A2D7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0BC7B6E6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3905D7" w14:paraId="7F165B24" w14:textId="77777777" w:rsidTr="00A51187">
        <w:trPr>
          <w:trHeight w:val="1562"/>
        </w:trPr>
        <w:tc>
          <w:tcPr>
            <w:tcW w:w="2221" w:type="dxa"/>
            <w:vMerge/>
          </w:tcPr>
          <w:p w14:paraId="77CF9D4A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2D217C4" w14:textId="77777777" w:rsidR="00A51187" w:rsidRPr="002245B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00E6AC06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C62125C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9672565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5126E1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0760E9EF" w14:textId="77777777" w:rsidTr="00A51187">
        <w:trPr>
          <w:trHeight w:val="1983"/>
        </w:trPr>
        <w:tc>
          <w:tcPr>
            <w:tcW w:w="2221" w:type="dxa"/>
            <w:vMerge w:val="restart"/>
          </w:tcPr>
          <w:p w14:paraId="17B37EC6" w14:textId="77777777" w:rsidR="00A51187" w:rsidRPr="00636CD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экологическим и социальным гарантиям </w:t>
            </w:r>
          </w:p>
        </w:tc>
        <w:tc>
          <w:tcPr>
            <w:tcW w:w="3060" w:type="dxa"/>
          </w:tcPr>
          <w:p w14:paraId="5C132DCC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социальные науки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, науки об окружающей среде или смежные области,</w:t>
            </w:r>
          </w:p>
        </w:tc>
        <w:tc>
          <w:tcPr>
            <w:tcW w:w="2610" w:type="dxa"/>
          </w:tcPr>
          <w:p w14:paraId="66D0C9F7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2E1074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3DE14D57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3905D7" w14:paraId="034ECDB6" w14:textId="77777777" w:rsidTr="00A51187">
        <w:trPr>
          <w:trHeight w:val="1304"/>
        </w:trPr>
        <w:tc>
          <w:tcPr>
            <w:tcW w:w="2221" w:type="dxa"/>
            <w:vMerge/>
          </w:tcPr>
          <w:p w14:paraId="2BFB3BCF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03240B3" w14:textId="77777777" w:rsidR="00A51187" w:rsidRPr="00B428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02E8FE54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3F71943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3905D7" w14:paraId="350F2A09" w14:textId="77777777" w:rsidTr="00A51187">
        <w:trPr>
          <w:trHeight w:val="1209"/>
        </w:trPr>
        <w:tc>
          <w:tcPr>
            <w:tcW w:w="2221" w:type="dxa"/>
            <w:vMerge/>
          </w:tcPr>
          <w:p w14:paraId="01366230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E617F38" w14:textId="77777777" w:rsidR="00A51187" w:rsidRPr="00B428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1D5A3F29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A35DAF4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6F1D96AC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5D2A266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6FF7648C" w14:textId="77777777" w:rsidTr="00A51187">
        <w:trPr>
          <w:trHeight w:val="856"/>
        </w:trPr>
        <w:tc>
          <w:tcPr>
            <w:tcW w:w="2221" w:type="dxa"/>
            <w:vMerge w:val="restart"/>
          </w:tcPr>
          <w:p w14:paraId="21CC6A19" w14:textId="77777777" w:rsidR="00A51187" w:rsidRPr="00E2619C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>Национальный консультант по взаимодействию с заинтересованными сторонами</w:t>
            </w:r>
          </w:p>
        </w:tc>
        <w:tc>
          <w:tcPr>
            <w:tcW w:w="3060" w:type="dxa"/>
          </w:tcPr>
          <w:p w14:paraId="3A0EF7DB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международное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развитие/отношения,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социальные науки,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6B475DEE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BEB575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7E828363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3905D7" w14:paraId="56E717F6" w14:textId="77777777" w:rsidTr="00A51187">
        <w:trPr>
          <w:trHeight w:val="1263"/>
        </w:trPr>
        <w:tc>
          <w:tcPr>
            <w:tcW w:w="2221" w:type="dxa"/>
            <w:vMerge/>
          </w:tcPr>
          <w:p w14:paraId="00D94B2B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B257149" w14:textId="77777777" w:rsidR="00A51187" w:rsidRPr="0082430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677CDFE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4D2671C3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3905D7" w14:paraId="5C9FAB6A" w14:textId="77777777" w:rsidTr="00A51187">
        <w:trPr>
          <w:trHeight w:val="1182"/>
        </w:trPr>
        <w:tc>
          <w:tcPr>
            <w:tcW w:w="2221" w:type="dxa"/>
            <w:vMerge/>
          </w:tcPr>
          <w:p w14:paraId="7A8F1533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E2D47C0" w14:textId="77777777" w:rsidR="00A51187" w:rsidRPr="0082430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0A268544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02D3467E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7E43F98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0C7D0BD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D83F4D" w14:paraId="2AE3D8C1" w14:textId="77777777" w:rsidTr="00A51187">
        <w:trPr>
          <w:trHeight w:val="1182"/>
        </w:trPr>
        <w:tc>
          <w:tcPr>
            <w:tcW w:w="2221" w:type="dxa"/>
            <w:vMerge w:val="restart"/>
          </w:tcPr>
          <w:p w14:paraId="747FE9A8" w14:textId="77777777" w:rsidR="00A51187" w:rsidRPr="00566445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6445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правовым вопросам </w:t>
            </w:r>
          </w:p>
        </w:tc>
        <w:tc>
          <w:tcPr>
            <w:tcW w:w="3060" w:type="dxa"/>
          </w:tcPr>
          <w:p w14:paraId="6A33BE4D" w14:textId="77777777" w:rsidR="00A51187" w:rsidRPr="00722C3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 юридическую специальность,</w:t>
            </w:r>
          </w:p>
          <w:p w14:paraId="5E187BF1" w14:textId="77777777" w:rsidR="00A51187" w:rsidRPr="00754943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</w:tcPr>
          <w:p w14:paraId="6C57C2EF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DDE4AB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3E59DCE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742A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3905D7" w14:paraId="038245A6" w14:textId="77777777" w:rsidTr="00A51187">
        <w:trPr>
          <w:trHeight w:val="1182"/>
        </w:trPr>
        <w:tc>
          <w:tcPr>
            <w:tcW w:w="2221" w:type="dxa"/>
            <w:vMerge/>
          </w:tcPr>
          <w:p w14:paraId="01FF33B1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6EBD08" w14:textId="77777777" w:rsidR="00A51187" w:rsidRPr="000958CA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156AA6F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04D53C9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3905D7" w14:paraId="1E2E137E" w14:textId="77777777" w:rsidTr="00A51187">
        <w:trPr>
          <w:trHeight w:val="1182"/>
        </w:trPr>
        <w:tc>
          <w:tcPr>
            <w:tcW w:w="2221" w:type="dxa"/>
            <w:vMerge/>
          </w:tcPr>
          <w:p w14:paraId="37B6AE26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643AE29" w14:textId="77777777" w:rsidR="00A51187" w:rsidRPr="000958CA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1D7D4A3E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6A95DD00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124C36D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0E0E14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</w:tbl>
    <w:p w14:paraId="4404CAE9" w14:textId="17581BC0" w:rsidR="00CE3796" w:rsidRPr="00C42B4C" w:rsidRDefault="00CE3796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3905D7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3905D7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39FEF9E8" w14:textId="77777777" w:rsidR="00ED3319" w:rsidRDefault="00ED3319" w:rsidP="00ED3319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60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>
        <w:rPr>
          <w:rFonts w:ascii="GHEA Grapalat" w:hAnsi="GHEA Grapalat"/>
          <w:noProof/>
          <w:lang w:val="ru-RU"/>
        </w:rPr>
        <w:t>63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6BBE1C0A" w14:textId="77777777" w:rsidR="00056EA8" w:rsidRDefault="00056EA8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lastRenderedPageBreak/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082E34BD" w:rsidR="00CE5FA8" w:rsidRPr="001C6C3C" w:rsidRDefault="00CE5FA8" w:rsidP="00855D0A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aff3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</w:p>
    <w:p w14:paraId="40A79A44" w14:textId="1EC2295B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CF6DC9" w:rsidRPr="002C519C">
        <w:rPr>
          <w:rFonts w:ascii="GHEA Grapalat" w:hAnsi="GHEA Grapalat"/>
          <w:b/>
          <w:sz w:val="22"/>
          <w:szCs w:val="22"/>
          <w:highlight w:val="yellow"/>
          <w:lang w:val="hy-AM"/>
        </w:rPr>
        <w:t>2</w:t>
      </w:r>
      <w:r w:rsidR="004A46BC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:00</w:t>
      </w:r>
      <w:r w:rsidR="004C2B5E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 xml:space="preserve"> часов </w:t>
      </w:r>
      <w:r w:rsidR="00B05CB9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3905D7">
        <w:rPr>
          <w:rFonts w:ascii="GHEA Grapalat" w:hAnsi="GHEA Grapalat"/>
          <w:b/>
          <w:sz w:val="22"/>
          <w:szCs w:val="22"/>
          <w:highlight w:val="yellow"/>
          <w:lang w:val="hy-AM"/>
        </w:rPr>
        <w:t>6</w:t>
      </w:r>
      <w:r w:rsidR="007C5286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</w:t>
      </w:r>
      <w:r w:rsidR="003905D7">
        <w:rPr>
          <w:rFonts w:ascii="GHEA Grapalat" w:hAnsi="GHEA Grapalat"/>
          <w:b/>
          <w:sz w:val="22"/>
          <w:szCs w:val="22"/>
          <w:highlight w:val="yellow"/>
          <w:lang w:val="hy-AM"/>
        </w:rPr>
        <w:t>01</w:t>
      </w:r>
      <w:r w:rsidR="007C5286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.20</w:t>
      </w:r>
      <w:r w:rsidR="007742CC" w:rsidRPr="002C519C">
        <w:rPr>
          <w:rFonts w:ascii="GHEA Grapalat" w:hAnsi="GHEA Grapalat"/>
          <w:b/>
          <w:sz w:val="22"/>
          <w:szCs w:val="22"/>
          <w:highlight w:val="yellow"/>
          <w:lang w:val="hy-AM"/>
        </w:rPr>
        <w:t>2</w:t>
      </w:r>
      <w:r w:rsidR="003905D7">
        <w:rPr>
          <w:rFonts w:ascii="GHEA Grapalat" w:hAnsi="GHEA Grapalat"/>
          <w:b/>
          <w:sz w:val="22"/>
          <w:szCs w:val="22"/>
          <w:highlight w:val="yellow"/>
          <w:lang w:val="hy-AM"/>
        </w:rPr>
        <w:t>6</w:t>
      </w:r>
      <w:r w:rsidR="004A46BC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lastRenderedPageBreak/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20F8178F" w:rsidR="00CE5FA8" w:rsidRPr="002C519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highlight w:val="yellow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05CB9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3905D7">
        <w:rPr>
          <w:rFonts w:ascii="GHEA Grapalat" w:hAnsi="GHEA Grapalat"/>
          <w:b/>
          <w:sz w:val="22"/>
          <w:szCs w:val="22"/>
          <w:highlight w:val="yellow"/>
          <w:lang w:val="hy-AM"/>
        </w:rPr>
        <w:t>6</w:t>
      </w:r>
      <w:bookmarkStart w:id="0" w:name="_GoBack"/>
      <w:bookmarkEnd w:id="0"/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</w:t>
      </w:r>
      <w:r w:rsidR="003905D7">
        <w:rPr>
          <w:rFonts w:ascii="GHEA Grapalat" w:hAnsi="GHEA Grapalat"/>
          <w:b/>
          <w:sz w:val="22"/>
          <w:szCs w:val="22"/>
          <w:highlight w:val="yellow"/>
          <w:lang w:val="hy-AM"/>
        </w:rPr>
        <w:t>01</w:t>
      </w:r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.20</w:t>
      </w:r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hy-AM"/>
        </w:rPr>
        <w:t>2</w:t>
      </w:r>
      <w:r w:rsidR="003905D7">
        <w:rPr>
          <w:rFonts w:ascii="GHEA Grapalat" w:hAnsi="GHEA Grapalat"/>
          <w:b/>
          <w:sz w:val="22"/>
          <w:szCs w:val="22"/>
          <w:highlight w:val="yellow"/>
          <w:lang w:val="ru-RU"/>
        </w:rPr>
        <w:t>6</w:t>
      </w:r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г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5D950FA7" w:rsidR="006709A3" w:rsidRPr="00855D0A" w:rsidRDefault="00855D0A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А.Акопян</w:t>
      </w:r>
      <w:proofErr w:type="spellEnd"/>
    </w:p>
    <w:p w14:paraId="6004BEB5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10BA203E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2B0CE82F" w:rsidR="00CE5FA8" w:rsidRPr="002C519C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</w:t>
      </w:r>
      <w:r w:rsidR="002C519C" w:rsidRPr="002C519C">
        <w:rPr>
          <w:rFonts w:ascii="GHEA Grapalat" w:hAnsi="GHEA Grapalat"/>
          <w:sz w:val="22"/>
          <w:szCs w:val="22"/>
          <w:lang w:val="ru-RU"/>
        </w:rPr>
        <w:t>8</w:t>
      </w:r>
    </w:p>
    <w:p w14:paraId="20F17E24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4EBDA06F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</w:t>
      </w:r>
      <w:r w:rsidR="002C519C" w:rsidRPr="002C519C">
        <w:rPr>
          <w:rFonts w:ascii="GHEA Grapalat" w:hAnsi="GHEA Grapalat"/>
          <w:sz w:val="22"/>
          <w:szCs w:val="22"/>
          <w:lang w:val="ru-RU"/>
        </w:rPr>
        <w:t>8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A0D8450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07592741" w:rsidR="002F4A5D" w:rsidRPr="002C519C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</w:t>
      </w:r>
      <w:r w:rsidR="002C519C" w:rsidRPr="002C519C">
        <w:rPr>
          <w:rFonts w:ascii="GHEA Grapalat" w:hAnsi="GHEA Grapalat"/>
          <w:sz w:val="22"/>
          <w:szCs w:val="22"/>
          <w:lang w:val="ru-RU"/>
        </w:rPr>
        <w:t>8</w:t>
      </w:r>
    </w:p>
    <w:p w14:paraId="2C54E540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3905D7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26D8C59D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3905D7">
        <w:rPr>
          <w:rFonts w:ascii="GHEA Grapalat" w:hAnsi="GHEA Grapalat"/>
          <w:sz w:val="22"/>
          <w:szCs w:val="22"/>
          <w:lang w:val="hy-AM"/>
        </w:rPr>
        <w:t>ՀՀ-ԲԾ-Ա-ԲՄԾՁԲ-25/147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E4DC3" w14:textId="77777777" w:rsidR="002447B4" w:rsidRDefault="002447B4">
      <w:r>
        <w:separator/>
      </w:r>
    </w:p>
  </w:endnote>
  <w:endnote w:type="continuationSeparator" w:id="0">
    <w:p w14:paraId="5CBDB536" w14:textId="77777777" w:rsidR="002447B4" w:rsidRDefault="0024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0A66" w14:textId="77777777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05D7">
      <w:rPr>
        <w:noProof/>
      </w:rPr>
      <w:t>11</w:t>
    </w:r>
    <w:r>
      <w:rPr>
        <w:noProof/>
      </w:rPr>
      <w:fldChar w:fldCharType="end"/>
    </w:r>
  </w:p>
  <w:p w14:paraId="7F4CBAB3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3AA7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7B6A7" w14:textId="77777777" w:rsidR="002447B4" w:rsidRDefault="002447B4">
      <w:r>
        <w:separator/>
      </w:r>
    </w:p>
  </w:footnote>
  <w:footnote w:type="continuationSeparator" w:id="0">
    <w:p w14:paraId="1B6609FE" w14:textId="77777777" w:rsidR="002447B4" w:rsidRDefault="0024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9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43"/>
  </w:num>
  <w:num w:numId="5">
    <w:abstractNumId w:val="12"/>
  </w:num>
  <w:num w:numId="6">
    <w:abstractNumId w:val="33"/>
  </w:num>
  <w:num w:numId="7">
    <w:abstractNumId w:val="0"/>
  </w:num>
  <w:num w:numId="8">
    <w:abstractNumId w:val="17"/>
  </w:num>
  <w:num w:numId="9">
    <w:abstractNumId w:val="7"/>
  </w:num>
  <w:num w:numId="10">
    <w:abstractNumId w:val="34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9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2"/>
  </w:num>
  <w:num w:numId="26">
    <w:abstractNumId w:val="41"/>
  </w:num>
  <w:num w:numId="27">
    <w:abstractNumId w:val="24"/>
  </w:num>
  <w:num w:numId="28">
    <w:abstractNumId w:val="36"/>
  </w:num>
  <w:num w:numId="29">
    <w:abstractNumId w:val="15"/>
  </w:num>
  <w:num w:numId="30">
    <w:abstractNumId w:val="14"/>
  </w:num>
  <w:num w:numId="31">
    <w:abstractNumId w:val="22"/>
  </w:num>
  <w:num w:numId="32">
    <w:abstractNumId w:val="35"/>
  </w:num>
  <w:num w:numId="33">
    <w:abstractNumId w:val="5"/>
  </w:num>
  <w:num w:numId="34">
    <w:abstractNumId w:val="25"/>
  </w:num>
  <w:num w:numId="35">
    <w:abstractNumId w:val="39"/>
  </w:num>
  <w:num w:numId="36">
    <w:abstractNumId w:val="18"/>
  </w:num>
  <w:num w:numId="37">
    <w:abstractNumId w:val="23"/>
  </w:num>
  <w:num w:numId="38">
    <w:abstractNumId w:val="27"/>
  </w:num>
  <w:num w:numId="39">
    <w:abstractNumId w:val="40"/>
  </w:num>
  <w:num w:numId="40">
    <w:abstractNumId w:val="19"/>
  </w:num>
  <w:num w:numId="41">
    <w:abstractNumId w:val="11"/>
  </w:num>
  <w:num w:numId="42">
    <w:abstractNumId w:val="26"/>
  </w:num>
  <w:num w:numId="43">
    <w:abstractNumId w:val="42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19C0"/>
    <w:rsid w:val="00013282"/>
    <w:rsid w:val="00016375"/>
    <w:rsid w:val="00021358"/>
    <w:rsid w:val="00024D12"/>
    <w:rsid w:val="00034338"/>
    <w:rsid w:val="00036D9A"/>
    <w:rsid w:val="00042829"/>
    <w:rsid w:val="00046509"/>
    <w:rsid w:val="00046F6F"/>
    <w:rsid w:val="0005064B"/>
    <w:rsid w:val="00051A2B"/>
    <w:rsid w:val="00051DDA"/>
    <w:rsid w:val="00052CB3"/>
    <w:rsid w:val="000537B6"/>
    <w:rsid w:val="000549ED"/>
    <w:rsid w:val="00056EA8"/>
    <w:rsid w:val="00060262"/>
    <w:rsid w:val="0006072E"/>
    <w:rsid w:val="0006448E"/>
    <w:rsid w:val="0006704E"/>
    <w:rsid w:val="000729CE"/>
    <w:rsid w:val="000758CC"/>
    <w:rsid w:val="00081D7B"/>
    <w:rsid w:val="00090AD5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52E0"/>
    <w:rsid w:val="00126D20"/>
    <w:rsid w:val="00130F87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447B4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519C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728C9"/>
    <w:rsid w:val="00374A00"/>
    <w:rsid w:val="00381145"/>
    <w:rsid w:val="0038137A"/>
    <w:rsid w:val="00381E03"/>
    <w:rsid w:val="00383669"/>
    <w:rsid w:val="003905D7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A5AF6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6374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271F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51187"/>
    <w:rsid w:val="00A60B81"/>
    <w:rsid w:val="00A62D3B"/>
    <w:rsid w:val="00A70536"/>
    <w:rsid w:val="00A74DC3"/>
    <w:rsid w:val="00A75D65"/>
    <w:rsid w:val="00A838FB"/>
    <w:rsid w:val="00A91C3C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5CB9"/>
    <w:rsid w:val="00B06597"/>
    <w:rsid w:val="00B07EDD"/>
    <w:rsid w:val="00B14F54"/>
    <w:rsid w:val="00B16901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2B4C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3319"/>
    <w:rsid w:val="00ED7520"/>
    <w:rsid w:val="00EE4060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19C9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table" w:customStyle="1" w:styleId="TableGrid1">
    <w:name w:val="Table Grid1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e"/>
    <w:uiPriority w:val="39"/>
    <w:unhideWhenUsed/>
    <w:rsid w:val="008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CB5B-5789-4B49-A2A2-E4FBECA7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3596</Words>
  <Characters>20503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54</cp:revision>
  <cp:lastPrinted>2017-12-22T05:37:00Z</cp:lastPrinted>
  <dcterms:created xsi:type="dcterms:W3CDTF">2023-10-23T12:11:00Z</dcterms:created>
  <dcterms:modified xsi:type="dcterms:W3CDTF">2025-12-24T08:26:00Z</dcterms:modified>
</cp:coreProperties>
</file>