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962C8" w14:textId="1B06E2A8" w:rsidR="009C713B" w:rsidRPr="00B329CE" w:rsidRDefault="009C713B" w:rsidP="009C713B">
      <w:pPr>
        <w:jc w:val="center"/>
        <w:rPr>
          <w:rFonts w:ascii="GHEA Grapalat" w:hAnsi="GHEA Grapalat" w:cs="Sylfaen"/>
          <w:b/>
          <w:lang w:val="af-ZA"/>
        </w:rPr>
      </w:pPr>
      <w:bookmarkStart w:id="0" w:name="_Hlk131086720"/>
      <w:bookmarkStart w:id="1" w:name="_GoBack"/>
      <w:bookmarkEnd w:id="1"/>
      <w:r w:rsidRPr="00B329CE">
        <w:rPr>
          <w:rFonts w:ascii="GHEA Grapalat" w:hAnsi="GHEA Grapalat" w:cs="Sylfaen"/>
          <w:b/>
          <w:lang w:val="af-ZA"/>
        </w:rPr>
        <w:t>ОБЪЯВЛЕНИЕ</w:t>
      </w:r>
    </w:p>
    <w:p w14:paraId="66547F73" w14:textId="66A8A3A4" w:rsidR="009C713B" w:rsidRPr="00B329CE" w:rsidRDefault="009C713B" w:rsidP="009C713B">
      <w:pPr>
        <w:jc w:val="center"/>
        <w:rPr>
          <w:rFonts w:ascii="GHEA Grapalat" w:hAnsi="GHEA Grapalat"/>
          <w:b/>
          <w:lang w:val="af-ZA"/>
        </w:rPr>
      </w:pPr>
      <w:r w:rsidRPr="009C713B">
        <w:rPr>
          <w:rFonts w:ascii="GHEA Grapalat" w:hAnsi="GHEA Grapalat" w:cs="Sylfaen"/>
          <w:b/>
          <w:lang w:val="af-ZA"/>
        </w:rPr>
        <w:t>о разъяснении приглашения</w:t>
      </w:r>
    </w:p>
    <w:p w14:paraId="52AA4ECB" w14:textId="77777777" w:rsidR="009C713B" w:rsidRPr="00FB2808" w:rsidRDefault="009C713B" w:rsidP="009C713B">
      <w:pPr>
        <w:keepNext/>
        <w:spacing w:after="40"/>
        <w:jc w:val="center"/>
        <w:outlineLvl w:val="2"/>
        <w:rPr>
          <w:rFonts w:ascii="GHEA Grapalat" w:hAnsi="GHEA Grapalat" w:cs="Sylfaen"/>
          <w:lang w:val="af-ZA"/>
        </w:rPr>
      </w:pPr>
      <w:r w:rsidRPr="00FB2808">
        <w:rPr>
          <w:rFonts w:ascii="GHEA Grapalat" w:hAnsi="GHEA Grapalat" w:cs="Sylfaen"/>
          <w:lang w:val="af-ZA"/>
        </w:rPr>
        <w:t>Настоящий текст объявления утвержден решением «</w:t>
      </w:r>
      <w:r w:rsidRPr="00B329CE">
        <w:rPr>
          <w:rFonts w:ascii="GHEA Grapalat" w:hAnsi="GHEA Grapalat" w:cs="Sylfaen"/>
          <w:lang w:val="af-ZA"/>
        </w:rPr>
        <w:t>2</w:t>
      </w:r>
      <w:r w:rsidRPr="00FB2808">
        <w:rPr>
          <w:rFonts w:ascii="GHEA Grapalat" w:hAnsi="GHEA Grapalat" w:cs="Sylfaen"/>
          <w:lang w:val="af-ZA"/>
        </w:rPr>
        <w:t xml:space="preserve">» оценочной комиссии </w:t>
      </w:r>
    </w:p>
    <w:p w14:paraId="6A9DB0CA" w14:textId="339767E9" w:rsidR="009C713B" w:rsidRPr="00B329CE" w:rsidRDefault="009C713B" w:rsidP="009C713B">
      <w:pPr>
        <w:keepNext/>
        <w:spacing w:after="40"/>
        <w:jc w:val="center"/>
        <w:outlineLvl w:val="2"/>
        <w:rPr>
          <w:rFonts w:ascii="GHEA Grapalat" w:hAnsi="GHEA Grapalat" w:cs="Sylfaen"/>
          <w:lang w:val="af-ZA"/>
        </w:rPr>
      </w:pPr>
      <w:r w:rsidRPr="00B329CE">
        <w:rPr>
          <w:rFonts w:ascii="GHEA Grapalat" w:hAnsi="GHEA Grapalat" w:cs="Sylfaen"/>
          <w:lang w:val="af-ZA"/>
        </w:rPr>
        <w:t xml:space="preserve">от </w:t>
      </w:r>
      <w:r w:rsidRPr="009C713B">
        <w:rPr>
          <w:rFonts w:ascii="GHEA Grapalat" w:hAnsi="GHEA Grapalat" w:cs="Sylfaen"/>
        </w:rPr>
        <w:t>07</w:t>
      </w:r>
      <w:r w:rsidRPr="009C713B">
        <w:rPr>
          <w:rFonts w:ascii="Times New Roman" w:hAnsi="Times New Roman" w:cs="Times New Roman"/>
        </w:rPr>
        <w:t>․</w:t>
      </w:r>
      <w:r w:rsidRPr="009C713B">
        <w:rPr>
          <w:rFonts w:ascii="GHEA Grapalat" w:hAnsi="GHEA Grapalat" w:cs="Times New Roman"/>
        </w:rPr>
        <w:t>01</w:t>
      </w:r>
      <w:r w:rsidRPr="009C713B">
        <w:rPr>
          <w:rFonts w:ascii="Times New Roman" w:hAnsi="Times New Roman" w:cs="Times New Roman"/>
        </w:rPr>
        <w:t>․</w:t>
      </w:r>
      <w:r w:rsidRPr="009C713B">
        <w:rPr>
          <w:rFonts w:ascii="GHEA Grapalat" w:hAnsi="GHEA Grapalat" w:cs="Sylfaen"/>
          <w:lang w:val="af-ZA"/>
        </w:rPr>
        <w:t xml:space="preserve"> 202</w:t>
      </w:r>
      <w:r w:rsidRPr="009C713B">
        <w:rPr>
          <w:rFonts w:ascii="GHEA Grapalat" w:hAnsi="GHEA Grapalat" w:cs="Sylfaen"/>
        </w:rPr>
        <w:t>6</w:t>
      </w:r>
      <w:r w:rsidRPr="00B329CE">
        <w:rPr>
          <w:rFonts w:ascii="GHEA Grapalat" w:hAnsi="GHEA Grapalat" w:cs="Sylfaen"/>
          <w:lang w:val="af-ZA"/>
        </w:rPr>
        <w:t xml:space="preserve"> года и публикуется согласно статье </w:t>
      </w:r>
    </w:p>
    <w:p w14:paraId="3E941691" w14:textId="4A106BC5" w:rsidR="009C713B" w:rsidRDefault="009C713B" w:rsidP="009C713B">
      <w:pPr>
        <w:keepNext/>
        <w:jc w:val="center"/>
        <w:outlineLvl w:val="2"/>
        <w:rPr>
          <w:rFonts w:ascii="GHEA Grapalat" w:hAnsi="GHEA Grapalat" w:cs="Sylfaen"/>
          <w:lang w:val="af-ZA"/>
        </w:rPr>
      </w:pPr>
      <w:r w:rsidRPr="00B329CE">
        <w:rPr>
          <w:rFonts w:ascii="GHEA Grapalat" w:hAnsi="GHEA Grapalat" w:cs="Sylfaen"/>
          <w:lang w:val="af-ZA"/>
        </w:rPr>
        <w:t>29 закона РА "О закупках".</w:t>
      </w:r>
    </w:p>
    <w:p w14:paraId="73033C4E" w14:textId="77777777" w:rsidR="009C713B" w:rsidRDefault="009C713B" w:rsidP="009C713B">
      <w:pPr>
        <w:keepNext/>
        <w:jc w:val="center"/>
        <w:outlineLvl w:val="2"/>
        <w:rPr>
          <w:rFonts w:ascii="GHEA Grapalat" w:hAnsi="GHEA Grapalat" w:cs="Sylfaen"/>
          <w:lang w:val="af-ZA"/>
        </w:rPr>
      </w:pPr>
    </w:p>
    <w:p w14:paraId="2E454096" w14:textId="19FE4770" w:rsidR="009C713B" w:rsidRDefault="009C713B" w:rsidP="009C713B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C713B">
        <w:rPr>
          <w:rFonts w:ascii="GHEA Grapalat" w:hAnsi="GHEA Grapalat"/>
          <w:sz w:val="20"/>
          <w:szCs w:val="20"/>
          <w:lang w:val="af-ZA"/>
        </w:rPr>
        <w:t>Комиссия по оценке процедуры закупки под кодовым названием «</w:t>
      </w:r>
      <w:r w:rsidRPr="009C713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C713B">
        <w:rPr>
          <w:rFonts w:ascii="GHEA Grapalat" w:hAnsi="GHEA Grapalat" w:cs="Sylfaen"/>
          <w:b/>
          <w:lang w:val="af-ZA"/>
        </w:rPr>
        <w:t>ՏԿԵՆ-ՀԲՄԱՇՁԲ-202</w:t>
      </w:r>
      <w:r w:rsidRPr="009C713B">
        <w:rPr>
          <w:rFonts w:ascii="GHEA Grapalat" w:hAnsi="GHEA Grapalat" w:cs="Sylfaen"/>
          <w:b/>
        </w:rPr>
        <w:t>6/1Ս</w:t>
      </w:r>
      <w:r w:rsidRPr="009C713B">
        <w:rPr>
          <w:rFonts w:ascii="GHEA Grapalat" w:hAnsi="GHEA Grapalat"/>
          <w:sz w:val="20"/>
          <w:szCs w:val="20"/>
          <w:lang w:val="af-ZA"/>
        </w:rPr>
        <w:t xml:space="preserve"> », организованной для нужд министерства территориального управления и инфраструктур РА с целью приобретения работ по текущему летнему и текущему зимнему обслуживанию автомобильных дорог межгосударственного, республиканского значения в регионе Аштарак Арагацотнской области РА, включая техническое обслуживание существующих на этих дорогах ограждающих систем (металлических заграждений), ниже представляет информацию о приглашении с тем же кодом от 05.01.2026. полученный вопрос и ответ на него от 07.01.2026 г.. предоставленное разъяснение:</w:t>
      </w:r>
    </w:p>
    <w:p w14:paraId="4B0749A3" w14:textId="77777777" w:rsidR="009C713B" w:rsidRPr="009C713B" w:rsidRDefault="009C713B" w:rsidP="009C713B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</w:p>
    <w:p w14:paraId="31CB9408" w14:textId="77777777" w:rsidR="009C713B" w:rsidRPr="009C713B" w:rsidRDefault="009C713B" w:rsidP="009C713B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C713B">
        <w:rPr>
          <w:rFonts w:ascii="GHEA Grapalat" w:hAnsi="GHEA Grapalat"/>
          <w:b/>
          <w:sz w:val="20"/>
          <w:szCs w:val="20"/>
          <w:lang w:val="af-ZA"/>
        </w:rPr>
        <w:t xml:space="preserve"> Вопрос № 1.</w:t>
      </w:r>
      <w:r w:rsidRPr="009C713B">
        <w:rPr>
          <w:rFonts w:ascii="GHEA Grapalat" w:hAnsi="GHEA Grapalat"/>
          <w:b/>
          <w:sz w:val="20"/>
          <w:szCs w:val="20"/>
          <w:lang w:val="af-ZA"/>
        </w:rPr>
        <w:tab/>
      </w:r>
      <w:r w:rsidRPr="009C713B">
        <w:rPr>
          <w:rFonts w:ascii="GHEA Grapalat" w:hAnsi="GHEA Grapalat"/>
          <w:sz w:val="20"/>
          <w:szCs w:val="20"/>
          <w:lang w:val="af-ZA"/>
        </w:rPr>
        <w:t>Принимая во внимание, что лизинг представляет собой аренду, и право собственности на имущество, приобретенное в результате лизинга, на протяжении всего срока действия договора принадлежит лизингополучателю, хотя имущество фактически передается лизингополучателю, пожалуйста, поясните: согласно требованиям приглашения, машины и оборудование, приобретенные участником в результате лизинга, могут быть представлены исключительно как имущество, принадлежащее на праве аренды на 30%.</w:t>
      </w:r>
    </w:p>
    <w:p w14:paraId="69FAD311" w14:textId="71A0C3A9" w:rsidR="009C713B" w:rsidRDefault="009C713B" w:rsidP="009C713B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C713B">
        <w:rPr>
          <w:rFonts w:ascii="GHEA Grapalat" w:hAnsi="GHEA Grapalat"/>
          <w:b/>
          <w:sz w:val="20"/>
          <w:szCs w:val="20"/>
          <w:lang w:val="af-ZA"/>
        </w:rPr>
        <w:t>Ответ № 1.</w:t>
      </w:r>
      <w:r w:rsidRPr="009C713B">
        <w:rPr>
          <w:rFonts w:ascii="GHEA Grapalat" w:hAnsi="GHEA Grapalat"/>
          <w:sz w:val="20"/>
          <w:szCs w:val="20"/>
          <w:lang w:val="af-ZA"/>
        </w:rPr>
        <w:t xml:space="preserve"> из положения части 1 статьи 684.1 Гражданского кодекса РА следует, что согласно договору лизинга, автомобильная техника передается лизингополучателю в аренду (во владение и пользование), а не на праве собственности, поэтому автомобильная техника, приобретенная участником в лизинг, может быть представлена только как автомобильная техника, приобретенная в лизинг.</w:t>
      </w:r>
    </w:p>
    <w:p w14:paraId="3F7F153E" w14:textId="77777777" w:rsidR="009C713B" w:rsidRPr="009C713B" w:rsidRDefault="009C713B" w:rsidP="009C713B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</w:p>
    <w:p w14:paraId="56801D0C" w14:textId="77777777" w:rsidR="009C713B" w:rsidRPr="009C713B" w:rsidRDefault="009C713B" w:rsidP="009C713B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C713B">
        <w:rPr>
          <w:rFonts w:ascii="GHEA Grapalat" w:hAnsi="GHEA Grapalat"/>
          <w:b/>
          <w:sz w:val="20"/>
          <w:szCs w:val="20"/>
          <w:lang w:val="af-ZA"/>
        </w:rPr>
        <w:t>Вопрос № 2.</w:t>
      </w:r>
      <w:r w:rsidRPr="009C713B">
        <w:rPr>
          <w:rFonts w:ascii="GHEA Grapalat" w:hAnsi="GHEA Grapalat"/>
          <w:sz w:val="20"/>
          <w:szCs w:val="20"/>
          <w:lang w:val="af-ZA"/>
        </w:rPr>
        <w:tab/>
        <w:t>из необходимых машин и оборудования компрессор, в отличие от других машин и оборудования, не подлежит государственному учету и учитывается на балансе компании на основании соответствующей имущественной карты, исходя из вышеизложенного, пожалуйста, поясните: согласно требованиям приглашения, имущественная карта, представленная для компрессора в качестве доказательства, подтверждающего право собственности, приемлема или нет.</w:t>
      </w:r>
    </w:p>
    <w:p w14:paraId="0BE74874" w14:textId="095EC644" w:rsidR="009C713B" w:rsidRDefault="009C713B" w:rsidP="009C713B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C713B">
        <w:rPr>
          <w:rFonts w:ascii="GHEA Grapalat" w:hAnsi="GHEA Grapalat"/>
          <w:b/>
          <w:sz w:val="20"/>
          <w:szCs w:val="20"/>
          <w:lang w:val="af-ZA"/>
        </w:rPr>
        <w:t>Ответ № 2.</w:t>
      </w:r>
      <w:r w:rsidRPr="009C713B">
        <w:rPr>
          <w:rFonts w:ascii="GHEA Grapalat" w:hAnsi="GHEA Grapalat"/>
          <w:sz w:val="20"/>
          <w:szCs w:val="20"/>
          <w:lang w:val="af-ZA"/>
        </w:rPr>
        <w:t xml:space="preserve"> согласно Приложению 1 к Постановлению Правительства РА № 1847-N от 16.12.2004 г., указанное в данном приложении, а также другое оборудование, предназначенное для обслуживания дорог, подлежит учету</w:t>
      </w:r>
    </w:p>
    <w:p w14:paraId="13E8D0E8" w14:textId="77777777" w:rsidR="009C713B" w:rsidRPr="009C713B" w:rsidRDefault="009C713B" w:rsidP="009C713B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</w:p>
    <w:p w14:paraId="42D33D9E" w14:textId="77777777" w:rsidR="009C713B" w:rsidRPr="009C713B" w:rsidRDefault="009C713B" w:rsidP="009C713B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C713B">
        <w:rPr>
          <w:rFonts w:ascii="GHEA Grapalat" w:hAnsi="GHEA Grapalat"/>
          <w:b/>
          <w:sz w:val="20"/>
          <w:szCs w:val="20"/>
          <w:lang w:val="af-ZA"/>
        </w:rPr>
        <w:t>Вопрос № 3.</w:t>
      </w:r>
      <w:r w:rsidRPr="009C713B">
        <w:rPr>
          <w:rFonts w:ascii="GHEA Grapalat" w:hAnsi="GHEA Grapalat"/>
          <w:b/>
          <w:sz w:val="20"/>
          <w:szCs w:val="20"/>
          <w:lang w:val="af-ZA"/>
        </w:rPr>
        <w:tab/>
      </w:r>
      <w:r w:rsidRPr="009C713B">
        <w:rPr>
          <w:rFonts w:ascii="GHEA Grapalat" w:hAnsi="GHEA Grapalat"/>
          <w:sz w:val="20"/>
          <w:szCs w:val="20"/>
          <w:lang w:val="af-ZA"/>
        </w:rPr>
        <w:t>Расчет требуемой машины и оборудования должен производиться в соответствии с длиной участка дороги, подлежащего техническому обслуживанию, или общей длиной участка дороги</w:t>
      </w:r>
    </w:p>
    <w:p w14:paraId="3CEFA812" w14:textId="65A32294" w:rsidR="009C713B" w:rsidRDefault="009C713B" w:rsidP="009C713B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C713B">
        <w:rPr>
          <w:rFonts w:ascii="GHEA Grapalat" w:hAnsi="GHEA Grapalat"/>
          <w:b/>
          <w:sz w:val="20"/>
          <w:szCs w:val="20"/>
          <w:lang w:val="af-ZA"/>
        </w:rPr>
        <w:t>Ответ № 3:</w:t>
      </w:r>
      <w:r w:rsidRPr="009C713B">
        <w:rPr>
          <w:rFonts w:ascii="GHEA Grapalat" w:hAnsi="GHEA Grapalat"/>
          <w:sz w:val="20"/>
          <w:szCs w:val="20"/>
          <w:lang w:val="af-ZA"/>
        </w:rPr>
        <w:t xml:space="preserve"> количество автомобильной техники определяется исходя из общей длины участков автомагистралей межгосударственного и республиканского значения, передаваемых на техническое обслуживание, предусмотренных договором</w:t>
      </w:r>
    </w:p>
    <w:p w14:paraId="3E7280DA" w14:textId="77777777" w:rsidR="009C713B" w:rsidRPr="009C713B" w:rsidRDefault="009C713B" w:rsidP="009C713B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</w:p>
    <w:p w14:paraId="510F93EE" w14:textId="77777777" w:rsidR="009C713B" w:rsidRPr="009C713B" w:rsidRDefault="009C713B" w:rsidP="009C713B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C713B">
        <w:rPr>
          <w:rFonts w:ascii="GHEA Grapalat" w:hAnsi="GHEA Grapalat"/>
          <w:b/>
          <w:sz w:val="20"/>
          <w:szCs w:val="20"/>
          <w:lang w:val="af-ZA"/>
        </w:rPr>
        <w:t>Вопрос № 4.</w:t>
      </w:r>
      <w:r w:rsidRPr="009C713B">
        <w:rPr>
          <w:rFonts w:ascii="GHEA Grapalat" w:hAnsi="GHEA Grapalat"/>
          <w:b/>
          <w:sz w:val="20"/>
          <w:szCs w:val="20"/>
          <w:lang w:val="af-ZA"/>
        </w:rPr>
        <w:tab/>
      </w:r>
      <w:r w:rsidRPr="009C713B">
        <w:rPr>
          <w:rFonts w:ascii="GHEA Grapalat" w:hAnsi="GHEA Grapalat"/>
          <w:sz w:val="20"/>
          <w:szCs w:val="20"/>
          <w:lang w:val="af-ZA"/>
        </w:rPr>
        <w:t>На каком этапе необходимо предоставить документы на требуемую машину и оборудование (основания собственности и аренды): вместе с заявкой, на этапе заключения контракта или на этапе заключения соглашения,</w:t>
      </w:r>
    </w:p>
    <w:p w14:paraId="5DAADFAF" w14:textId="49C5F30D" w:rsidR="009C713B" w:rsidRDefault="009C713B" w:rsidP="009C713B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C713B">
        <w:rPr>
          <w:rFonts w:ascii="GHEA Grapalat" w:hAnsi="GHEA Grapalat"/>
          <w:b/>
          <w:sz w:val="20"/>
          <w:szCs w:val="20"/>
          <w:lang w:val="af-ZA"/>
        </w:rPr>
        <w:t>Ответ № 4.</w:t>
      </w:r>
      <w:r w:rsidRPr="009C713B">
        <w:rPr>
          <w:rFonts w:ascii="GHEA Grapalat" w:hAnsi="GHEA Grapalat"/>
          <w:sz w:val="20"/>
          <w:szCs w:val="20"/>
          <w:lang w:val="af-ZA"/>
        </w:rPr>
        <w:t xml:space="preserve"> Перед подписанием договора выбранный участник должен предоставить документ, подтверждающий права на автомобиль-оборудование: договор купли-продажи, технический паспорт, в случае транспортного средства-паспорт учета, другой документ, подтверждающий право собственности, в случае аренды и безвозмездного использования-согласие владельца на передачу транспортного средства в аренду или безвозмездное пользование: Оценочная комиссия при проведении оценки по части настоящего критерия, </w:t>
      </w:r>
      <w:r w:rsidRPr="009C713B">
        <w:rPr>
          <w:rFonts w:ascii="GHEA Grapalat" w:hAnsi="GHEA Grapalat"/>
          <w:sz w:val="20"/>
          <w:szCs w:val="20"/>
          <w:lang w:val="af-ZA"/>
        </w:rPr>
        <w:lastRenderedPageBreak/>
        <w:t>помимо документальной оценки, может проверить наличие и техническое состояние представленных машин и оборудования в указанном участником месте</w:t>
      </w:r>
    </w:p>
    <w:p w14:paraId="4A0A1AFB" w14:textId="77777777" w:rsidR="009C713B" w:rsidRPr="009C713B" w:rsidRDefault="009C713B" w:rsidP="009C713B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</w:p>
    <w:p w14:paraId="7F542EB0" w14:textId="77777777" w:rsidR="009C713B" w:rsidRPr="009C713B" w:rsidRDefault="009C713B" w:rsidP="009C713B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C713B">
        <w:rPr>
          <w:rFonts w:ascii="GHEA Grapalat" w:hAnsi="GHEA Grapalat"/>
          <w:b/>
          <w:sz w:val="20"/>
          <w:szCs w:val="20"/>
          <w:lang w:val="af-ZA"/>
        </w:rPr>
        <w:t xml:space="preserve"> Вопрос № 5.</w:t>
      </w:r>
      <w:r w:rsidRPr="009C713B">
        <w:rPr>
          <w:rFonts w:ascii="GHEA Grapalat" w:hAnsi="GHEA Grapalat"/>
          <w:b/>
          <w:sz w:val="20"/>
          <w:szCs w:val="20"/>
          <w:lang w:val="af-ZA"/>
        </w:rPr>
        <w:tab/>
      </w:r>
      <w:r w:rsidRPr="009C713B">
        <w:rPr>
          <w:rFonts w:ascii="GHEA Grapalat" w:hAnsi="GHEA Grapalat"/>
          <w:sz w:val="20"/>
          <w:szCs w:val="20"/>
          <w:lang w:val="af-ZA"/>
        </w:rPr>
        <w:t>Из первого пункта списка необходимых машин-оборудования неясно, относится ли требование "с резиновым защитным лезвием и присыпкой" только к другим снегоуборочным машинам или к грейдеру, имея в виду, что в пункте 7 того же списка такое требование к грейдеру не представлено. Пожалуйста, дайте разъяснения и по этой части.</w:t>
      </w:r>
    </w:p>
    <w:p w14:paraId="5B900847" w14:textId="77777777" w:rsidR="009C713B" w:rsidRPr="009C713B" w:rsidRDefault="009C713B" w:rsidP="009C713B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C713B">
        <w:rPr>
          <w:rFonts w:ascii="GHEA Grapalat" w:hAnsi="GHEA Grapalat"/>
          <w:b/>
          <w:sz w:val="20"/>
          <w:szCs w:val="20"/>
          <w:lang w:val="af-ZA"/>
        </w:rPr>
        <w:t>Ответ № 5.</w:t>
      </w:r>
      <w:r w:rsidRPr="009C713B">
        <w:rPr>
          <w:rFonts w:ascii="GHEA Grapalat" w:hAnsi="GHEA Grapalat"/>
          <w:sz w:val="20"/>
          <w:szCs w:val="20"/>
          <w:lang w:val="af-ZA"/>
        </w:rPr>
        <w:t xml:space="preserve"> согласно пункту 1 таблицы пункта 53 Постановления Правительства РА № 1419-N от 04.11.2010 г., на текущий зимний период хранения необходимо представить грейдер или другую снегоуборочную машину, оснащенную резиновым защитным лезвием и пылесосом, а также системой глобального позиционирования.  </w:t>
      </w:r>
    </w:p>
    <w:p w14:paraId="3F9A6CD3" w14:textId="77777777" w:rsidR="009C713B" w:rsidRPr="009C713B" w:rsidRDefault="009C713B" w:rsidP="009C713B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C713B">
        <w:rPr>
          <w:rFonts w:ascii="GHEA Grapalat" w:hAnsi="GHEA Grapalat"/>
          <w:sz w:val="20"/>
          <w:szCs w:val="20"/>
          <w:lang w:val="af-ZA"/>
        </w:rPr>
        <w:t>Согласно пункту 7 той же таблицы, для летнего периода хранения необходим грейдер, оснащенный системой глобального позиционирования.</w:t>
      </w:r>
    </w:p>
    <w:p w14:paraId="13B23C85" w14:textId="224DBD1C" w:rsidR="009C713B" w:rsidRDefault="009C713B" w:rsidP="009C713B">
      <w:pPr>
        <w:tabs>
          <w:tab w:val="left" w:pos="1843"/>
        </w:tabs>
        <w:spacing w:after="0"/>
        <w:ind w:firstLine="567"/>
        <w:jc w:val="both"/>
        <w:rPr>
          <w:rFonts w:ascii="GHEA Grapalat" w:hAnsi="GHEA Grapalat" w:cs="Arial"/>
          <w:color w:val="333333"/>
          <w:shd w:val="clear" w:color="auto" w:fill="FFFFFF"/>
        </w:rPr>
      </w:pPr>
      <w:r w:rsidRPr="009C713B">
        <w:rPr>
          <w:rFonts w:ascii="GHEA Grapalat" w:hAnsi="GHEA Grapalat"/>
          <w:sz w:val="20"/>
          <w:szCs w:val="20"/>
          <w:lang w:val="af-ZA"/>
        </w:rPr>
        <w:t>Из сказанного следует, что если для проведения зимних консервационных работ вводится грейдер,то последний должен быть оснащен резиновым защитным лезвием и присыпкой. В противном случае, если для проведения зимних работ по техническому обслуживанию предоставляется «другая снегоуборочная машина», данная машина должна быть оснащена резиновым защитным лезвием и порошковым средством.</w:t>
      </w:r>
      <w:r w:rsidRPr="009C713B">
        <w:rPr>
          <w:rFonts w:ascii="GHEA Grapalat" w:hAnsi="GHEA Grapalat" w:cs="Arial"/>
          <w:color w:val="333333"/>
          <w:shd w:val="clear" w:color="auto" w:fill="FFFFFF"/>
        </w:rPr>
        <w:t>։</w:t>
      </w:r>
    </w:p>
    <w:p w14:paraId="5B426BA4" w14:textId="77777777" w:rsidR="009C713B" w:rsidRPr="00B329CE" w:rsidRDefault="009C713B" w:rsidP="009C713B">
      <w:pPr>
        <w:keepNext/>
        <w:outlineLvl w:val="2"/>
        <w:rPr>
          <w:rFonts w:ascii="GHEA Grapalat" w:hAnsi="GHEA Grapalat" w:cs="Sylfaen"/>
          <w:lang w:val="af-ZA"/>
        </w:rPr>
      </w:pPr>
    </w:p>
    <w:p w14:paraId="6E990177" w14:textId="0072D800" w:rsidR="009C713B" w:rsidRPr="009C713B" w:rsidRDefault="009C713B" w:rsidP="009C713B">
      <w:pPr>
        <w:ind w:firstLine="708"/>
        <w:jc w:val="both"/>
        <w:rPr>
          <w:rFonts w:ascii="GHEA Grapalat" w:hAnsi="GHEA Grapalat"/>
        </w:rPr>
      </w:pPr>
      <w:r w:rsidRPr="009C713B">
        <w:rPr>
          <w:rFonts w:ascii="GHEA Grapalat" w:hAnsi="GHEA Grapalat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Pr="009C713B">
        <w:rPr>
          <w:rFonts w:ascii="GHEA Grapalat" w:hAnsi="GHEA Grapalat" w:cs="Sylfaen"/>
          <w:b/>
          <w:sz w:val="24"/>
          <w:szCs w:val="24"/>
          <w:lang w:val="af-ZA"/>
        </w:rPr>
        <w:t>ՏԿԵՆ-ՀԲՄԱՇՁԲ-202</w:t>
      </w:r>
      <w:r w:rsidRPr="009C713B">
        <w:rPr>
          <w:rFonts w:ascii="GHEA Grapalat" w:hAnsi="GHEA Grapalat" w:cs="Sylfaen"/>
          <w:b/>
          <w:sz w:val="24"/>
          <w:szCs w:val="24"/>
        </w:rPr>
        <w:t>6/1Ս</w:t>
      </w:r>
      <w:r w:rsidRPr="009C713B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 w:rsidRPr="009C713B">
        <w:rPr>
          <w:rFonts w:ascii="GHEA Grapalat" w:hAnsi="GHEA Grapalat"/>
          <w:iCs/>
          <w:lang w:val="ru-RU"/>
        </w:rPr>
        <w:t>Зануш</w:t>
      </w:r>
      <w:proofErr w:type="spellEnd"/>
      <w:r w:rsidRPr="009C713B">
        <w:rPr>
          <w:rFonts w:ascii="GHEA Grapalat" w:hAnsi="GHEA Grapalat"/>
          <w:iCs/>
          <w:lang w:val="ru-RU"/>
        </w:rPr>
        <w:t xml:space="preserve"> Айрапетян</w:t>
      </w:r>
      <w:r w:rsidRPr="009C713B">
        <w:rPr>
          <w:rFonts w:ascii="GHEA Grapalat" w:hAnsi="GHEA Grapalat"/>
          <w:lang w:val="ru-RU"/>
        </w:rPr>
        <w:t xml:space="preserve">. </w:t>
      </w:r>
    </w:p>
    <w:p w14:paraId="7EDA167B" w14:textId="77777777" w:rsidR="009C713B" w:rsidRPr="009C713B" w:rsidRDefault="009C713B" w:rsidP="009C713B">
      <w:pPr>
        <w:ind w:firstLine="708"/>
        <w:jc w:val="both"/>
        <w:rPr>
          <w:rFonts w:ascii="GHEA Grapalat" w:hAnsi="GHEA Grapalat"/>
          <w:szCs w:val="24"/>
        </w:rPr>
      </w:pPr>
    </w:p>
    <w:p w14:paraId="0F9D6E63" w14:textId="1C4DE05E" w:rsidR="009C713B" w:rsidRPr="009C713B" w:rsidRDefault="009C713B" w:rsidP="009C713B">
      <w:pPr>
        <w:pStyle w:val="a6"/>
        <w:widowControl w:val="0"/>
        <w:spacing w:afterLines="40" w:after="96"/>
        <w:ind w:firstLine="851"/>
        <w:rPr>
          <w:rFonts w:ascii="GHEA Grapalat" w:hAnsi="GHEA Grapalat"/>
          <w:szCs w:val="24"/>
        </w:rPr>
      </w:pPr>
      <w:r w:rsidRPr="009C713B">
        <w:rPr>
          <w:rFonts w:ascii="GHEA Grapalat" w:hAnsi="GHEA Grapalat"/>
          <w:b/>
          <w:i/>
          <w:iCs/>
          <w:szCs w:val="24"/>
          <w:lang w:val="ru-RU"/>
        </w:rPr>
        <w:t>Телефон</w:t>
      </w:r>
      <w:r w:rsidRPr="009C713B">
        <w:rPr>
          <w:rFonts w:ascii="GHEA Grapalat" w:hAnsi="GHEA Grapalat"/>
          <w:b/>
          <w:i/>
          <w:iCs/>
          <w:szCs w:val="24"/>
        </w:rPr>
        <w:t>։</w:t>
      </w:r>
      <w:r w:rsidRPr="009C713B">
        <w:rPr>
          <w:rFonts w:ascii="GHEA Grapalat" w:hAnsi="GHEA Grapalat"/>
          <w:i/>
          <w:iCs/>
          <w:szCs w:val="24"/>
          <w:lang w:val="ru-RU"/>
        </w:rPr>
        <w:t xml:space="preserve"> </w:t>
      </w:r>
      <w:r w:rsidRPr="009C713B">
        <w:rPr>
          <w:rFonts w:ascii="GHEA Grapalat" w:hAnsi="GHEA Grapalat"/>
          <w:bCs/>
          <w:i/>
          <w:iCs/>
          <w:szCs w:val="24"/>
          <w:lang w:val="af-ZA"/>
        </w:rPr>
        <w:t>010 511 32</w:t>
      </w:r>
      <w:r>
        <w:rPr>
          <w:rFonts w:ascii="GHEA Grapalat" w:hAnsi="GHEA Grapalat"/>
          <w:bCs/>
          <w:i/>
          <w:iCs/>
          <w:szCs w:val="24"/>
        </w:rPr>
        <w:t>8</w:t>
      </w:r>
    </w:p>
    <w:p w14:paraId="25A08FA1" w14:textId="77777777" w:rsidR="009C713B" w:rsidRPr="009C713B" w:rsidRDefault="009C713B" w:rsidP="009C713B">
      <w:pPr>
        <w:pStyle w:val="a6"/>
        <w:spacing w:afterLines="40" w:after="96"/>
        <w:ind w:firstLine="851"/>
        <w:rPr>
          <w:rStyle w:val="a8"/>
          <w:rFonts w:ascii="GHEA Grapalat" w:hAnsi="GHEA Grapalat" w:cs="Calibri"/>
          <w:i/>
          <w:szCs w:val="24"/>
          <w:lang w:val="af-ZA"/>
        </w:rPr>
      </w:pPr>
      <w:r w:rsidRPr="009C713B">
        <w:rPr>
          <w:rFonts w:ascii="GHEA Grapalat" w:hAnsi="GHEA Grapalat"/>
          <w:b/>
          <w:i/>
          <w:iCs/>
          <w:szCs w:val="24"/>
          <w:lang w:val="ru-RU"/>
        </w:rPr>
        <w:t>Электронная почта</w:t>
      </w:r>
      <w:r w:rsidRPr="009C713B">
        <w:rPr>
          <w:rFonts w:ascii="GHEA Grapalat" w:hAnsi="GHEA Grapalat"/>
          <w:b/>
          <w:i/>
          <w:iCs/>
          <w:szCs w:val="24"/>
        </w:rPr>
        <w:t>։</w:t>
      </w:r>
      <w:r w:rsidRPr="009C713B">
        <w:rPr>
          <w:rFonts w:ascii="GHEA Grapalat" w:hAnsi="GHEA Grapalat"/>
          <w:i/>
          <w:iCs/>
          <w:szCs w:val="24"/>
          <w:lang w:val="ru-RU"/>
        </w:rPr>
        <w:t xml:space="preserve"> </w:t>
      </w:r>
      <w:hyperlink r:id="rId4" w:history="1">
        <w:r w:rsidRPr="009C713B">
          <w:rPr>
            <w:rStyle w:val="a8"/>
            <w:rFonts w:ascii="GHEA Grapalat" w:hAnsi="GHEA Grapalat" w:cs="Calibri"/>
            <w:i/>
            <w:szCs w:val="24"/>
            <w:lang w:val="af-ZA"/>
          </w:rPr>
          <w:t>z.hayrapetyan@mta.gov.am</w:t>
        </w:r>
      </w:hyperlink>
    </w:p>
    <w:p w14:paraId="1BB2C7CA" w14:textId="77777777" w:rsidR="009C713B" w:rsidRPr="009C713B" w:rsidRDefault="009C713B" w:rsidP="009C713B">
      <w:pPr>
        <w:pStyle w:val="a6"/>
        <w:spacing w:afterLines="40" w:after="96"/>
        <w:ind w:firstLine="851"/>
        <w:rPr>
          <w:rStyle w:val="a8"/>
          <w:rFonts w:ascii="GHEA Grapalat" w:hAnsi="GHEA Grapalat" w:cs="Calibri"/>
          <w:b/>
          <w:i/>
          <w:szCs w:val="24"/>
          <w:lang w:val="af-ZA"/>
        </w:rPr>
      </w:pPr>
    </w:p>
    <w:p w14:paraId="5FFFC66D" w14:textId="479655A3" w:rsidR="009C713B" w:rsidRDefault="009C713B" w:rsidP="009C713B">
      <w:pPr>
        <w:pStyle w:val="a6"/>
        <w:spacing w:afterLines="40" w:after="96"/>
        <w:ind w:firstLine="851"/>
        <w:rPr>
          <w:rFonts w:ascii="GHEA Grapalat" w:hAnsi="GHEA Grapalat" w:cs="Sylfaen"/>
          <w:lang w:val="af-ZA"/>
        </w:rPr>
      </w:pPr>
      <w:r w:rsidRPr="009C713B">
        <w:rPr>
          <w:rFonts w:ascii="GHEA Grapalat" w:hAnsi="GHEA Grapalat" w:cs="Calibri"/>
          <w:b/>
          <w:iCs/>
          <w:color w:val="000000"/>
          <w:szCs w:val="24"/>
          <w:lang w:val="af-ZA"/>
        </w:rPr>
        <w:t xml:space="preserve">Оценочная комиссия процедуры закупки под кодом </w:t>
      </w:r>
      <w:r w:rsidRPr="009C713B">
        <w:rPr>
          <w:rFonts w:ascii="GHEA Grapalat" w:hAnsi="GHEA Grapalat" w:cs="Sylfaen"/>
          <w:b/>
          <w:sz w:val="24"/>
          <w:szCs w:val="24"/>
          <w:lang w:val="af-ZA"/>
        </w:rPr>
        <w:t>ՏԿԵՆ-ՀԲՄԱՇՁԲ-202</w:t>
      </w:r>
      <w:r w:rsidRPr="009C713B">
        <w:rPr>
          <w:rFonts w:ascii="GHEA Grapalat" w:hAnsi="GHEA Grapalat" w:cs="Sylfaen"/>
          <w:b/>
          <w:sz w:val="24"/>
          <w:szCs w:val="24"/>
        </w:rPr>
        <w:t>6/1Ս</w:t>
      </w:r>
    </w:p>
    <w:bookmarkEnd w:id="0"/>
    <w:p w14:paraId="6C55629D" w14:textId="77777777" w:rsidR="00306E76" w:rsidRPr="00306E76" w:rsidRDefault="00306E76" w:rsidP="00306E76">
      <w:pPr>
        <w:ind w:firstLine="709"/>
        <w:jc w:val="center"/>
        <w:rPr>
          <w:rFonts w:ascii="GHEA Grapalat" w:hAnsi="GHEA Grapalat" w:cs="Calibri"/>
          <w:lang w:val="af-ZA"/>
        </w:rPr>
      </w:pPr>
    </w:p>
    <w:p w14:paraId="19E41C55" w14:textId="77777777" w:rsidR="00306E76" w:rsidRDefault="00306E76" w:rsidP="00306E76">
      <w:pPr>
        <w:ind w:firstLine="709"/>
        <w:jc w:val="both"/>
        <w:rPr>
          <w:rFonts w:ascii="GHEA Grapalat" w:hAnsi="GHEA Grapalat" w:cs="Sylfaen"/>
          <w:i/>
        </w:rPr>
      </w:pPr>
    </w:p>
    <w:p w14:paraId="5F1FB6E1" w14:textId="77777777" w:rsidR="00306E76" w:rsidRDefault="00306E76" w:rsidP="00306E76">
      <w:pPr>
        <w:ind w:firstLine="709"/>
        <w:jc w:val="both"/>
        <w:rPr>
          <w:rFonts w:ascii="GHEA Grapalat" w:hAnsi="GHEA Grapalat" w:cs="Sylfaen"/>
          <w:b/>
          <w:sz w:val="24"/>
          <w:lang w:val="af-ZA"/>
        </w:rPr>
      </w:pPr>
    </w:p>
    <w:p w14:paraId="373B6756" w14:textId="77777777" w:rsidR="00306E76" w:rsidRPr="00306E76" w:rsidRDefault="00306E76" w:rsidP="00190965">
      <w:pPr>
        <w:tabs>
          <w:tab w:val="left" w:pos="1843"/>
        </w:tabs>
        <w:ind w:firstLine="567"/>
        <w:jc w:val="both"/>
        <w:rPr>
          <w:rFonts w:ascii="GHEA Grapalat" w:hAnsi="GHEA Grapalat"/>
          <w:lang w:val="af-ZA"/>
        </w:rPr>
      </w:pPr>
    </w:p>
    <w:sectPr w:rsidR="00306E76" w:rsidRPr="00306E76" w:rsidSect="00DA6A9F">
      <w:pgSz w:w="11906" w:h="16838"/>
      <w:pgMar w:top="1440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81"/>
    <w:rsid w:val="00190965"/>
    <w:rsid w:val="00306E76"/>
    <w:rsid w:val="004D2091"/>
    <w:rsid w:val="00613280"/>
    <w:rsid w:val="009C713B"/>
    <w:rsid w:val="00A54B81"/>
    <w:rsid w:val="00D47019"/>
    <w:rsid w:val="00DA6A9F"/>
    <w:rsid w:val="00FA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8727"/>
  <w15:chartTrackingRefBased/>
  <w15:docId w15:val="{E8321B36-63D0-4680-9F5C-33A33402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306E7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semiHidden/>
    <w:rsid w:val="00306E7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4">
    <w:name w:val="Body Text"/>
    <w:basedOn w:val="a"/>
    <w:link w:val="a5"/>
    <w:semiHidden/>
    <w:unhideWhenUsed/>
    <w:rsid w:val="00306E7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semiHidden/>
    <w:rsid w:val="00306E7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306E7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06E76"/>
  </w:style>
  <w:style w:type="character" w:styleId="a8">
    <w:name w:val="Hyperlink"/>
    <w:semiHidden/>
    <w:unhideWhenUsed/>
    <w:rsid w:val="00306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.hayrapetyan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2026-01-05T17:48:00Z</dcterms:created>
  <dcterms:modified xsi:type="dcterms:W3CDTF">2026-01-07T15:02:00Z</dcterms:modified>
</cp:coreProperties>
</file>