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2771B3">
        <w:rPr>
          <w:rFonts w:ascii="GHEA Grapalat" w:hAnsi="GHEA Grapalat"/>
          <w:b w:val="0"/>
          <w:sz w:val="20"/>
          <w:lang w:val="af-ZA"/>
        </w:rPr>
        <w:t>ՀՀԱՆ-ԳՀԽԾՁԲ-21/35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287FED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proofErr w:type="spellStart"/>
      <w:r w:rsidR="002771B3" w:rsidRPr="002771B3">
        <w:rPr>
          <w:rFonts w:ascii="GHEA Grapalat" w:hAnsi="GHEA Grapalat" w:cs="Sylfaen"/>
          <w:i/>
          <w:sz w:val="19"/>
          <w:szCs w:val="19"/>
          <w:lang w:val="es-ES"/>
        </w:rPr>
        <w:t>տեղեկատվական</w:t>
      </w:r>
      <w:proofErr w:type="spellEnd"/>
      <w:r w:rsidR="002771B3" w:rsidRPr="002771B3">
        <w:rPr>
          <w:rFonts w:ascii="GHEA Grapalat" w:hAnsi="GHEA Grapalat" w:cs="Sylfaen"/>
          <w:i/>
          <w:sz w:val="19"/>
          <w:szCs w:val="19"/>
          <w:lang w:val="es-ES"/>
        </w:rPr>
        <w:t xml:space="preserve"> </w:t>
      </w:r>
      <w:proofErr w:type="spellStart"/>
      <w:r w:rsidR="002771B3" w:rsidRPr="002771B3">
        <w:rPr>
          <w:rFonts w:ascii="GHEA Grapalat" w:hAnsi="GHEA Grapalat" w:cs="Sylfaen"/>
          <w:i/>
          <w:sz w:val="19"/>
          <w:szCs w:val="19"/>
          <w:lang w:val="es-ES"/>
        </w:rPr>
        <w:t>տեխնոլոգիաների</w:t>
      </w:r>
      <w:proofErr w:type="spellEnd"/>
      <w:r w:rsidR="002771B3" w:rsidRPr="002771B3">
        <w:rPr>
          <w:rFonts w:ascii="GHEA Grapalat" w:hAnsi="GHEA Grapalat" w:cs="Sylfaen"/>
          <w:i/>
          <w:sz w:val="19"/>
          <w:szCs w:val="19"/>
          <w:lang w:val="es-ES"/>
        </w:rPr>
        <w:t xml:space="preserve"> </w:t>
      </w:r>
      <w:proofErr w:type="spellStart"/>
      <w:r w:rsidR="002771B3" w:rsidRPr="002771B3">
        <w:rPr>
          <w:rFonts w:ascii="GHEA Grapalat" w:hAnsi="GHEA Grapalat" w:cs="Sylfaen"/>
          <w:i/>
          <w:sz w:val="19"/>
          <w:szCs w:val="19"/>
          <w:lang w:val="es-ES"/>
        </w:rPr>
        <w:t>պահանջների</w:t>
      </w:r>
      <w:proofErr w:type="spellEnd"/>
      <w:r w:rsidR="002771B3" w:rsidRPr="002771B3">
        <w:rPr>
          <w:rFonts w:ascii="GHEA Grapalat" w:hAnsi="GHEA Grapalat" w:cs="Sylfaen"/>
          <w:i/>
          <w:sz w:val="19"/>
          <w:szCs w:val="19"/>
          <w:lang w:val="es-ES"/>
        </w:rPr>
        <w:t xml:space="preserve"> </w:t>
      </w:r>
      <w:proofErr w:type="spellStart"/>
      <w:r w:rsidR="002771B3" w:rsidRPr="002771B3">
        <w:rPr>
          <w:rFonts w:ascii="GHEA Grapalat" w:hAnsi="GHEA Grapalat" w:cs="Sylfaen"/>
          <w:i/>
          <w:sz w:val="19"/>
          <w:szCs w:val="19"/>
          <w:lang w:val="es-ES"/>
        </w:rPr>
        <w:t>վերլուծության</w:t>
      </w:r>
      <w:proofErr w:type="spellEnd"/>
      <w:r w:rsidR="002771B3" w:rsidRPr="002771B3">
        <w:rPr>
          <w:rFonts w:ascii="GHEA Grapalat" w:hAnsi="GHEA Grapalat" w:cs="Sylfaen"/>
          <w:i/>
          <w:sz w:val="19"/>
          <w:szCs w:val="19"/>
          <w:lang w:val="es-ES"/>
        </w:rPr>
        <w:t xml:space="preserve"> /</w:t>
      </w:r>
      <w:proofErr w:type="spellStart"/>
      <w:r w:rsidR="002771B3" w:rsidRPr="002771B3">
        <w:rPr>
          <w:rFonts w:ascii="GHEA Grapalat" w:hAnsi="GHEA Grapalat" w:cs="Sylfaen"/>
          <w:i/>
          <w:sz w:val="19"/>
          <w:szCs w:val="19"/>
          <w:lang w:val="es-ES"/>
        </w:rPr>
        <w:t>խորհրդատվության</w:t>
      </w:r>
      <w:proofErr w:type="spellEnd"/>
      <w:r w:rsidR="002771B3" w:rsidRPr="002771B3">
        <w:rPr>
          <w:rFonts w:ascii="GHEA Grapalat" w:hAnsi="GHEA Grapalat" w:cs="Sylfaen"/>
          <w:i/>
          <w:sz w:val="19"/>
          <w:szCs w:val="19"/>
          <w:lang w:val="es-ES"/>
        </w:rPr>
        <w:t xml:space="preserve">/ </w:t>
      </w:r>
      <w:proofErr w:type="spellStart"/>
      <w:r w:rsidR="002771B3" w:rsidRPr="002771B3">
        <w:rPr>
          <w:rFonts w:ascii="GHEA Grapalat" w:hAnsi="GHEA Grapalat" w:cs="Sylfaen"/>
          <w:i/>
          <w:sz w:val="19"/>
          <w:szCs w:val="19"/>
          <w:lang w:val="es-ES"/>
        </w:rPr>
        <w:t>ծառայություններ</w:t>
      </w:r>
      <w:r w:rsidR="002771B3">
        <w:rPr>
          <w:rFonts w:ascii="GHEA Grapalat" w:hAnsi="GHEA Grapalat" w:cs="Sylfaen"/>
          <w:i/>
          <w:sz w:val="19"/>
          <w:szCs w:val="19"/>
          <w:lang w:val="es-ES"/>
        </w:rPr>
        <w:t>ի</w:t>
      </w:r>
      <w:proofErr w:type="spellEnd"/>
      <w:r w:rsidR="002771B3" w:rsidRPr="002771B3">
        <w:rPr>
          <w:rFonts w:ascii="GHEA Grapalat" w:hAnsi="GHEA Grapalat" w:cs="Sylfaen"/>
          <w:i/>
          <w:sz w:val="19"/>
          <w:szCs w:val="19"/>
          <w:lang w:val="af-ZA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2771B3">
        <w:rPr>
          <w:rFonts w:ascii="GHEA Grapalat" w:hAnsi="GHEA Grapalat"/>
          <w:b w:val="0"/>
          <w:sz w:val="20"/>
          <w:lang w:val="af-ZA"/>
        </w:rPr>
        <w:t>ՀՀԱՆ-ԳՀԽԾՁԲ-21/35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»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:rsidR="00B47B15" w:rsidRPr="00D54934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6438C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771B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նոյեմբեր</w:t>
      </w:r>
      <w:r w:rsidR="00122C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</w:t>
      </w:r>
      <w:r w:rsidR="009F39BB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771B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</w:t>
      </w:r>
      <w:r w:rsidR="00C27AC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DE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10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"/>
        <w:gridCol w:w="2892"/>
        <w:gridCol w:w="1937"/>
        <w:gridCol w:w="2469"/>
        <w:gridCol w:w="3086"/>
      </w:tblGrid>
      <w:tr w:rsidR="00B47B15" w:rsidRPr="00D54934" w:rsidTr="00551454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B47B15" w:rsidRPr="00D54934" w:rsidRDefault="00B47B15" w:rsidP="00551454">
            <w:pPr>
              <w:ind w:right="-42" w:hanging="4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1BE9" w:rsidRPr="00D54934" w:rsidTr="00551454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AA1BE9" w:rsidRPr="00D54934" w:rsidRDefault="00AA1BE9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AA1BE9" w:rsidRPr="001C0955" w:rsidRDefault="00AA1BE9" w:rsidP="00D51360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««</w:t>
            </w:r>
            <w:proofErr w:type="spellStart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Նորք</w:t>
            </w:r>
            <w:proofErr w:type="spellEnd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 xml:space="preserve">» </w:t>
            </w:r>
            <w:proofErr w:type="spellStart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սոցիալական</w:t>
            </w:r>
            <w:proofErr w:type="spellEnd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ծառայությունների</w:t>
            </w:r>
            <w:proofErr w:type="spellEnd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տեխնոլոգիական</w:t>
            </w:r>
            <w:proofErr w:type="spellEnd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 xml:space="preserve"> և </w:t>
            </w:r>
            <w:proofErr w:type="spellStart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իրազեկման</w:t>
            </w:r>
            <w:proofErr w:type="spellEnd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կենտրոն</w:t>
            </w:r>
            <w:proofErr w:type="spellEnd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 xml:space="preserve">» </w:t>
            </w:r>
            <w:proofErr w:type="spellStart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հիմնադրամ</w:t>
            </w:r>
            <w:proofErr w:type="spellEnd"/>
          </w:p>
        </w:tc>
        <w:tc>
          <w:tcPr>
            <w:tcW w:w="1937" w:type="dxa"/>
            <w:shd w:val="clear" w:color="auto" w:fill="auto"/>
            <w:vAlign w:val="center"/>
          </w:tcPr>
          <w:p w:rsidR="00AA1BE9" w:rsidRPr="00D54934" w:rsidRDefault="00AA1BE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A1BE9" w:rsidRPr="00D54934" w:rsidRDefault="00AA1BE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AA1BE9" w:rsidRPr="00D54934" w:rsidRDefault="00AA1BE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1BE9" w:rsidRPr="00D54934" w:rsidTr="00551454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AA1BE9" w:rsidRPr="00D54934" w:rsidRDefault="00AA1BE9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AA1BE9" w:rsidRPr="00F652F4" w:rsidRDefault="00AA1BE9" w:rsidP="00D51360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</w:pPr>
            <w:proofErr w:type="spellStart"/>
            <w:r w:rsidRPr="007E0061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Արմեն</w:t>
            </w:r>
            <w:proofErr w:type="spellEnd"/>
            <w:r w:rsidRPr="007E0061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E0061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Մկրտչյան</w:t>
            </w:r>
            <w:proofErr w:type="spellEnd"/>
          </w:p>
        </w:tc>
        <w:tc>
          <w:tcPr>
            <w:tcW w:w="1937" w:type="dxa"/>
            <w:shd w:val="clear" w:color="auto" w:fill="auto"/>
            <w:vAlign w:val="center"/>
          </w:tcPr>
          <w:p w:rsidR="00AA1BE9" w:rsidRPr="00D54934" w:rsidRDefault="00AA1BE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A1BE9" w:rsidRPr="00D54934" w:rsidRDefault="00AA1BE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AA1BE9" w:rsidRPr="00D54934" w:rsidRDefault="00AA1BE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2043C" w:rsidRDefault="0052043C" w:rsidP="0052043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2043C" w:rsidRPr="00D54934" w:rsidRDefault="0052043C" w:rsidP="0052043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52043C" w:rsidRPr="00D54934" w:rsidRDefault="0052043C" w:rsidP="00296F4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proofErr w:type="spellStart"/>
      <w:r w:rsidR="00AA1BE9" w:rsidRPr="00AA1BE9">
        <w:rPr>
          <w:rFonts w:ascii="GHEA Grapalat" w:eastAsia="Times New Roman" w:hAnsi="GHEA Grapalat" w:cs="Times New Roman"/>
          <w:b/>
          <w:sz w:val="18"/>
          <w:lang w:val="es-ES"/>
        </w:rPr>
        <w:t>տեղեկատվական</w:t>
      </w:r>
      <w:proofErr w:type="spellEnd"/>
      <w:r w:rsidR="00AA1BE9" w:rsidRPr="00AA1BE9">
        <w:rPr>
          <w:rFonts w:ascii="GHEA Grapalat" w:eastAsia="Times New Roman" w:hAnsi="GHEA Grapalat" w:cs="Times New Roman"/>
          <w:b/>
          <w:sz w:val="18"/>
          <w:lang w:val="es-ES"/>
        </w:rPr>
        <w:t xml:space="preserve"> </w:t>
      </w:r>
      <w:proofErr w:type="spellStart"/>
      <w:r w:rsidR="00AA1BE9" w:rsidRPr="00AA1BE9">
        <w:rPr>
          <w:rFonts w:ascii="GHEA Grapalat" w:eastAsia="Times New Roman" w:hAnsi="GHEA Grapalat" w:cs="Times New Roman"/>
          <w:b/>
          <w:sz w:val="18"/>
          <w:lang w:val="es-ES"/>
        </w:rPr>
        <w:t>տեխնոլոգիաների</w:t>
      </w:r>
      <w:proofErr w:type="spellEnd"/>
      <w:r w:rsidR="00AA1BE9" w:rsidRPr="00AA1BE9">
        <w:rPr>
          <w:rFonts w:ascii="GHEA Grapalat" w:eastAsia="Times New Roman" w:hAnsi="GHEA Grapalat" w:cs="Times New Roman"/>
          <w:b/>
          <w:sz w:val="18"/>
          <w:lang w:val="es-ES"/>
        </w:rPr>
        <w:t xml:space="preserve"> </w:t>
      </w:r>
      <w:proofErr w:type="spellStart"/>
      <w:r w:rsidR="00AA1BE9" w:rsidRPr="00AA1BE9">
        <w:rPr>
          <w:rFonts w:ascii="GHEA Grapalat" w:eastAsia="Times New Roman" w:hAnsi="GHEA Grapalat" w:cs="Times New Roman"/>
          <w:b/>
          <w:sz w:val="18"/>
          <w:lang w:val="es-ES"/>
        </w:rPr>
        <w:t>պահանջների</w:t>
      </w:r>
      <w:proofErr w:type="spellEnd"/>
      <w:r w:rsidR="00AA1BE9" w:rsidRPr="00AA1BE9">
        <w:rPr>
          <w:rFonts w:ascii="GHEA Grapalat" w:eastAsia="Times New Roman" w:hAnsi="GHEA Grapalat" w:cs="Times New Roman"/>
          <w:b/>
          <w:sz w:val="18"/>
          <w:lang w:val="es-ES"/>
        </w:rPr>
        <w:t xml:space="preserve"> </w:t>
      </w:r>
      <w:proofErr w:type="spellStart"/>
      <w:r w:rsidR="00AA1BE9" w:rsidRPr="00AA1BE9">
        <w:rPr>
          <w:rFonts w:ascii="GHEA Grapalat" w:eastAsia="Times New Roman" w:hAnsi="GHEA Grapalat" w:cs="Times New Roman"/>
          <w:b/>
          <w:sz w:val="18"/>
          <w:lang w:val="es-ES"/>
        </w:rPr>
        <w:t>վերլուծության</w:t>
      </w:r>
      <w:proofErr w:type="spellEnd"/>
      <w:r w:rsidR="00AA1BE9" w:rsidRPr="00AA1BE9">
        <w:rPr>
          <w:rFonts w:ascii="GHEA Grapalat" w:eastAsia="Times New Roman" w:hAnsi="GHEA Grapalat" w:cs="Times New Roman"/>
          <w:b/>
          <w:sz w:val="18"/>
          <w:lang w:val="es-ES"/>
        </w:rPr>
        <w:t xml:space="preserve"> /</w:t>
      </w:r>
      <w:proofErr w:type="spellStart"/>
      <w:r w:rsidR="00AA1BE9" w:rsidRPr="00AA1BE9">
        <w:rPr>
          <w:rFonts w:ascii="GHEA Grapalat" w:eastAsia="Times New Roman" w:hAnsi="GHEA Grapalat" w:cs="Times New Roman"/>
          <w:b/>
          <w:sz w:val="18"/>
          <w:lang w:val="es-ES"/>
        </w:rPr>
        <w:t>խորհրդատվության</w:t>
      </w:r>
      <w:proofErr w:type="spellEnd"/>
      <w:r w:rsidR="00AA1BE9" w:rsidRPr="00AA1BE9">
        <w:rPr>
          <w:rFonts w:ascii="GHEA Grapalat" w:eastAsia="Times New Roman" w:hAnsi="GHEA Grapalat" w:cs="Times New Roman"/>
          <w:b/>
          <w:sz w:val="18"/>
          <w:lang w:val="es-ES"/>
        </w:rPr>
        <w:t xml:space="preserve">/ </w:t>
      </w:r>
      <w:proofErr w:type="spellStart"/>
      <w:r w:rsidR="00AA1BE9" w:rsidRPr="00AA1BE9">
        <w:rPr>
          <w:rFonts w:ascii="GHEA Grapalat" w:eastAsia="Times New Roman" w:hAnsi="GHEA Grapalat" w:cs="Times New Roman"/>
          <w:b/>
          <w:sz w:val="18"/>
          <w:lang w:val="es-ES"/>
        </w:rPr>
        <w:t>ծառայություններ</w:t>
      </w:r>
      <w:proofErr w:type="spellEnd"/>
    </w:p>
    <w:tbl>
      <w:tblPr>
        <w:tblW w:w="963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544"/>
        <w:gridCol w:w="2461"/>
        <w:gridCol w:w="1876"/>
      </w:tblGrid>
      <w:tr w:rsidR="001F2631" w:rsidRPr="00D54934" w:rsidTr="00551454">
        <w:trPr>
          <w:trHeight w:val="107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AA1BE9" w:rsidRPr="00D54934" w:rsidTr="00551454">
        <w:trPr>
          <w:trHeight w:val="45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E9" w:rsidRPr="00082F2E" w:rsidRDefault="00AA1BE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082F2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E9" w:rsidRPr="001C0955" w:rsidRDefault="00AA1BE9" w:rsidP="00D51360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««</w:t>
            </w:r>
            <w:proofErr w:type="spellStart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Նորք</w:t>
            </w:r>
            <w:proofErr w:type="spellEnd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 xml:space="preserve">» </w:t>
            </w:r>
            <w:proofErr w:type="spellStart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սոցիալական</w:t>
            </w:r>
            <w:proofErr w:type="spellEnd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ծառայությունների</w:t>
            </w:r>
            <w:proofErr w:type="spellEnd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տեխնոլոգիական</w:t>
            </w:r>
            <w:proofErr w:type="spellEnd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 xml:space="preserve"> և </w:t>
            </w:r>
            <w:proofErr w:type="spellStart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իրազեկման</w:t>
            </w:r>
            <w:proofErr w:type="spellEnd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կենտրոն</w:t>
            </w:r>
            <w:proofErr w:type="spellEnd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 xml:space="preserve">» </w:t>
            </w:r>
            <w:proofErr w:type="spellStart"/>
            <w:r w:rsidRPr="00F652F4"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  <w:t>հիմնադրամ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E9" w:rsidRPr="00082F2E" w:rsidRDefault="00AA1BE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82F2E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A1BE9" w:rsidRPr="00C1664E" w:rsidRDefault="00AA1BE9" w:rsidP="002A2A36">
            <w:pPr>
              <w:pStyle w:val="Default"/>
              <w:spacing w:line="276" w:lineRule="auto"/>
              <w:ind w:left="-108" w:right="-108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2 572 000</w:t>
            </w:r>
          </w:p>
        </w:tc>
      </w:tr>
      <w:tr w:rsidR="00AA1BE9" w:rsidRPr="00D54934" w:rsidTr="00551454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E9" w:rsidRPr="00082F2E" w:rsidRDefault="00AA1BE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082F2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E9" w:rsidRPr="00F652F4" w:rsidRDefault="00AA1BE9" w:rsidP="00D51360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</w:rPr>
            </w:pPr>
            <w:proofErr w:type="spellStart"/>
            <w:r w:rsidRPr="007E0061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Արմեն</w:t>
            </w:r>
            <w:proofErr w:type="spellEnd"/>
            <w:r w:rsidRPr="007E0061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E0061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Մկրտչյան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E9" w:rsidRPr="00082F2E" w:rsidRDefault="00AA1BE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A1BE9" w:rsidRPr="00C4116B" w:rsidRDefault="00AA1BE9" w:rsidP="002A2A36">
            <w:pPr>
              <w:pStyle w:val="Default"/>
              <w:spacing w:line="276" w:lineRule="auto"/>
              <w:ind w:left="-108" w:right="-108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3 675 000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</w:t>
      </w:r>
      <w:r w:rsidR="00A06B36">
        <w:rPr>
          <w:rFonts w:ascii="GHEA Grapalat" w:hAnsi="GHEA Grapalat"/>
          <w:sz w:val="20"/>
          <w:lang w:val="af-ZA"/>
        </w:rPr>
        <w:t>հրավերով սահմանված պահանջներին համապատասխան հայտ</w:t>
      </w:r>
      <w:r w:rsidRPr="00D54934">
        <w:rPr>
          <w:rFonts w:ascii="GHEA Grapalat" w:hAnsi="GHEA Grapalat"/>
          <w:sz w:val="20"/>
          <w:lang w:val="af-ZA"/>
        </w:rPr>
        <w:t xml:space="preserve"> ներկայացրած մասնակից:</w:t>
      </w:r>
    </w:p>
    <w:p w:rsidR="00B30CC3" w:rsidRPr="00D54934" w:rsidRDefault="00DE79DC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 արդարադատության 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2771B3">
        <w:rPr>
          <w:rFonts w:ascii="GHEA Grapalat" w:hAnsi="GHEA Grapalat"/>
          <w:sz w:val="20"/>
          <w:lang w:val="ru-RU"/>
        </w:rPr>
        <w:t>ՀՀԱՆ-ԳՀԽԾՁԲ-21/35</w:t>
      </w:r>
      <w:r w:rsidR="00FD6F59" w:rsidRPr="00FD6F59">
        <w:rPr>
          <w:rFonts w:ascii="GHEA Grapalat" w:hAnsi="GHEA Grapalat"/>
          <w:sz w:val="20"/>
          <w:lang w:val="af-ZA"/>
        </w:rPr>
        <w:t xml:space="preserve"> 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4144EE">
        <w:rPr>
          <w:rFonts w:ascii="GHEA Grapalat" w:hAnsi="GHEA Grapalat"/>
          <w:sz w:val="20"/>
          <w:lang w:val="af-ZA"/>
        </w:rPr>
        <w:t xml:space="preserve">գնման ընթացակարգի </w:t>
      </w:r>
      <w:r w:rsidR="00551454" w:rsidRPr="00551454">
        <w:rPr>
          <w:rFonts w:ascii="GHEA Grapalat" w:hAnsi="GHEA Grapalat"/>
          <w:sz w:val="20"/>
          <w:lang w:val="hy-AM"/>
        </w:rPr>
        <w:t xml:space="preserve">ընտրված մասնակից է ճանաչվում </w:t>
      </w:r>
      <w:r w:rsidR="00A06B36" w:rsidRPr="00A06B36">
        <w:rPr>
          <w:rFonts w:ascii="GHEA Grapalat" w:hAnsi="GHEA Grapalat"/>
          <w:sz w:val="20"/>
          <w:szCs w:val="20"/>
        </w:rPr>
        <w:t>««</w:t>
      </w:r>
      <w:proofErr w:type="spellStart"/>
      <w:r w:rsidR="00A06B36" w:rsidRPr="00A06B36">
        <w:rPr>
          <w:rFonts w:ascii="GHEA Grapalat" w:hAnsi="GHEA Grapalat"/>
          <w:sz w:val="20"/>
          <w:szCs w:val="20"/>
        </w:rPr>
        <w:t>Նորք</w:t>
      </w:r>
      <w:proofErr w:type="spellEnd"/>
      <w:r w:rsidR="00A06B36" w:rsidRPr="00A06B36">
        <w:rPr>
          <w:rFonts w:ascii="GHEA Grapalat" w:hAnsi="GHEA Grapalat"/>
          <w:sz w:val="20"/>
          <w:szCs w:val="20"/>
        </w:rPr>
        <w:t xml:space="preserve">» </w:t>
      </w:r>
      <w:proofErr w:type="spellStart"/>
      <w:r w:rsidR="00A06B36" w:rsidRPr="00A06B36">
        <w:rPr>
          <w:rFonts w:ascii="GHEA Grapalat" w:hAnsi="GHEA Grapalat"/>
          <w:sz w:val="20"/>
          <w:szCs w:val="20"/>
        </w:rPr>
        <w:t>սոցիալական</w:t>
      </w:r>
      <w:proofErr w:type="spellEnd"/>
      <w:r w:rsidR="00A06B36" w:rsidRPr="00A06B3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06B36" w:rsidRPr="00A06B36">
        <w:rPr>
          <w:rFonts w:ascii="GHEA Grapalat" w:hAnsi="GHEA Grapalat"/>
          <w:sz w:val="20"/>
          <w:szCs w:val="20"/>
        </w:rPr>
        <w:t>ծառայությունների</w:t>
      </w:r>
      <w:proofErr w:type="spellEnd"/>
      <w:r w:rsidR="00A06B36" w:rsidRPr="00A06B3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06B36" w:rsidRPr="00A06B36">
        <w:rPr>
          <w:rFonts w:ascii="GHEA Grapalat" w:hAnsi="GHEA Grapalat"/>
          <w:sz w:val="20"/>
          <w:szCs w:val="20"/>
        </w:rPr>
        <w:t>տեխնոլոգիական</w:t>
      </w:r>
      <w:proofErr w:type="spellEnd"/>
      <w:r w:rsidR="00A06B36" w:rsidRPr="00A06B36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="00A06B36" w:rsidRPr="00A06B36">
        <w:rPr>
          <w:rFonts w:ascii="GHEA Grapalat" w:hAnsi="GHEA Grapalat"/>
          <w:sz w:val="20"/>
          <w:szCs w:val="20"/>
        </w:rPr>
        <w:t>իրազեկման</w:t>
      </w:r>
      <w:proofErr w:type="spellEnd"/>
      <w:r w:rsidR="00A06B36" w:rsidRPr="00A06B3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06B36" w:rsidRPr="00A06B36">
        <w:rPr>
          <w:rFonts w:ascii="GHEA Grapalat" w:hAnsi="GHEA Grapalat"/>
          <w:sz w:val="20"/>
          <w:szCs w:val="20"/>
        </w:rPr>
        <w:t>կենտրոն</w:t>
      </w:r>
      <w:proofErr w:type="spellEnd"/>
      <w:r w:rsidR="00A06B36" w:rsidRPr="00A06B36">
        <w:rPr>
          <w:rFonts w:ascii="GHEA Grapalat" w:hAnsi="GHEA Grapalat"/>
          <w:sz w:val="20"/>
          <w:szCs w:val="20"/>
        </w:rPr>
        <w:t xml:space="preserve">» </w:t>
      </w:r>
      <w:proofErr w:type="spellStart"/>
      <w:r w:rsidR="00A06B36" w:rsidRPr="00A06B36">
        <w:rPr>
          <w:rFonts w:ascii="GHEA Grapalat" w:hAnsi="GHEA Grapalat"/>
          <w:sz w:val="20"/>
          <w:szCs w:val="20"/>
        </w:rPr>
        <w:t>հիմնադրամ</w:t>
      </w:r>
      <w:r w:rsidR="00A06B36">
        <w:rPr>
          <w:rFonts w:ascii="GHEA Grapalat" w:hAnsi="GHEA Grapalat"/>
          <w:sz w:val="20"/>
          <w:szCs w:val="20"/>
        </w:rPr>
        <w:t>ը</w:t>
      </w:r>
      <w:proofErr w:type="spellEnd"/>
      <w:r w:rsidR="00B30CC3" w:rsidRPr="004144EE">
        <w:rPr>
          <w:rFonts w:ascii="GHEA Grapalat" w:hAnsi="GHEA Grapalat"/>
          <w:sz w:val="20"/>
          <w:lang w:val="af-ZA"/>
        </w:rPr>
        <w:t>:</w:t>
      </w:r>
    </w:p>
    <w:p w:rsidR="004144EE" w:rsidRPr="004144EE" w:rsidRDefault="00162E49" w:rsidP="004144E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</w:t>
      </w:r>
      <w:r w:rsidR="004144EE">
        <w:rPr>
          <w:rFonts w:ascii="GHEA Grapalat" w:hAnsi="GHEA Grapalat"/>
          <w:sz w:val="20"/>
          <w:lang w:val="af-ZA"/>
        </w:rPr>
        <w:t xml:space="preserve">Է </w:t>
      </w:r>
      <w:r w:rsidR="00947A92" w:rsidRPr="007D11EE">
        <w:rPr>
          <w:rFonts w:ascii="GHEA Grapalat" w:hAnsi="GHEA Grapalat"/>
          <w:sz w:val="20"/>
          <w:lang w:val="af-ZA"/>
        </w:rPr>
        <w:t>սահմանվում</w:t>
      </w:r>
      <w:r w:rsidR="004144EE">
        <w:rPr>
          <w:rFonts w:ascii="GHEA Grapalat" w:hAnsi="GHEA Grapalat"/>
          <w:sz w:val="20"/>
          <w:lang w:val="af-ZA"/>
        </w:rPr>
        <w:t xml:space="preserve"> </w:t>
      </w:r>
      <w:r w:rsidR="004144EE" w:rsidRPr="004144EE">
        <w:rPr>
          <w:rFonts w:ascii="GHEA Grapalat" w:hAnsi="GHEA Grapalat"/>
          <w:sz w:val="20"/>
          <w:lang w:val="af-ZA"/>
        </w:rPr>
        <w:t>5  օրացուցային օր: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E7B96" w:rsidRPr="007D11EE">
        <w:rPr>
          <w:rFonts w:ascii="GHEA Grapalat" w:hAnsi="GHEA Grapalat"/>
          <w:sz w:val="20"/>
          <w:lang w:val="af-ZA"/>
        </w:rPr>
        <w:t>«</w:t>
      </w:r>
      <w:r w:rsidR="002771B3">
        <w:rPr>
          <w:rFonts w:ascii="GHEA Grapalat" w:hAnsi="GHEA Grapalat"/>
          <w:sz w:val="20"/>
          <w:lang w:val="af-ZA"/>
        </w:rPr>
        <w:t>ՀՀԱՆ-ԳՀԽԾՁԲ-21/35</w:t>
      </w:r>
      <w:r w:rsidR="00CE7B96" w:rsidRPr="007D11EE">
        <w:rPr>
          <w:rFonts w:ascii="GHEA Grapalat" w:hAnsi="GHEA Grapalat"/>
          <w:sz w:val="20"/>
          <w:lang w:val="af-ZA"/>
        </w:rPr>
        <w:t xml:space="preserve">» 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A06B36">
        <w:rPr>
          <w:rFonts w:ascii="GHEA Grapalat" w:hAnsi="GHEA Grapalat"/>
          <w:sz w:val="20"/>
          <w:lang w:val="af-ZA"/>
        </w:rPr>
        <w:t>Ա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A06B36">
        <w:rPr>
          <w:rFonts w:ascii="GHEA Grapalat" w:hAnsi="GHEA Grapalat"/>
          <w:sz w:val="20"/>
          <w:lang w:val="af-ZA"/>
        </w:rPr>
        <w:t>Ավետիս</w:t>
      </w:r>
      <w:r w:rsidR="002076AA">
        <w:rPr>
          <w:rFonts w:ascii="GHEA Grapalat" w:hAnsi="GHEA Grapalat"/>
          <w:sz w:val="20"/>
          <w:lang w:val="af-ZA"/>
        </w:rPr>
        <w:t>յա</w:t>
      </w:r>
      <w:r w:rsidR="00860838" w:rsidRPr="00D54934">
        <w:rPr>
          <w:rFonts w:ascii="GHEA Grapalat" w:hAnsi="GHEA Grapalat"/>
          <w:sz w:val="20"/>
          <w:lang w:val="af-ZA"/>
        </w:rPr>
        <w:t>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A06B36" w:rsidRPr="00A06B36" w:rsidRDefault="00A06B36" w:rsidP="00A06B36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A06B36">
        <w:rPr>
          <w:rFonts w:ascii="GHEA Grapalat" w:hAnsi="GHEA Grapalat"/>
          <w:sz w:val="20"/>
          <w:lang w:val="af-ZA"/>
        </w:rPr>
        <w:t>Հեռախոս</w:t>
      </w:r>
      <w:r>
        <w:rPr>
          <w:rFonts w:ascii="GHEA Grapalat" w:hAnsi="GHEA Grapalat"/>
          <w:sz w:val="20"/>
          <w:lang w:val="af-ZA"/>
        </w:rPr>
        <w:t>՝</w:t>
      </w:r>
      <w:r w:rsidRPr="00A06B36">
        <w:rPr>
          <w:rFonts w:ascii="GHEA Grapalat" w:hAnsi="GHEA Grapalat"/>
          <w:sz w:val="20"/>
          <w:lang w:val="af-ZA"/>
        </w:rPr>
        <w:t xml:space="preserve"> 010593945</w:t>
      </w:r>
    </w:p>
    <w:p w:rsidR="00A06B36" w:rsidRDefault="00A06B36" w:rsidP="00A06B36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A06B36">
        <w:rPr>
          <w:rFonts w:ascii="GHEA Grapalat" w:hAnsi="GHEA Grapalat"/>
          <w:sz w:val="20"/>
          <w:lang w:val="af-ZA"/>
        </w:rPr>
        <w:t>Էլ. Փոստ</w:t>
      </w:r>
      <w:r>
        <w:rPr>
          <w:rFonts w:ascii="GHEA Grapalat" w:hAnsi="GHEA Grapalat"/>
          <w:sz w:val="20"/>
          <w:lang w:val="af-ZA"/>
        </w:rPr>
        <w:t>՝</w:t>
      </w:r>
      <w:r w:rsidRPr="00A06B36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A06B36">
          <w:rPr>
            <w:lang w:val="af-ZA"/>
          </w:rPr>
          <w:t>artur.avetisyan@moj.am</w:t>
        </w:r>
      </w:hyperlink>
    </w:p>
    <w:p w:rsidR="009E3139" w:rsidRDefault="00B47B15" w:rsidP="00A06B36">
      <w:pPr>
        <w:ind w:firstLine="720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 xml:space="preserve">ՀՀ արդարադատության </w:t>
      </w:r>
      <w:r w:rsidR="004144EE">
        <w:rPr>
          <w:rFonts w:ascii="GHEA Grapalat" w:hAnsi="GHEA Grapalat" w:cs="Sylfaen"/>
          <w:b/>
          <w:i/>
          <w:sz w:val="20"/>
          <w:lang w:val="af-ZA"/>
        </w:rPr>
        <w:t>նախարարությու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p w:rsidR="00FE203B" w:rsidRPr="0052386E" w:rsidRDefault="00FE203B" w:rsidP="00FE203B">
      <w:pPr>
        <w:widowControl w:val="0"/>
        <w:spacing w:after="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52386E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FE203B" w:rsidRPr="0052386E" w:rsidRDefault="00FE203B" w:rsidP="00FE203B">
      <w:pPr>
        <w:widowControl w:val="0"/>
        <w:spacing w:after="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52386E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FE203B" w:rsidRPr="0052386E" w:rsidRDefault="00FE203B" w:rsidP="00FE203B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proofErr w:type="spellStart"/>
      <w:r w:rsidRPr="0052386E">
        <w:rPr>
          <w:rFonts w:ascii="GHEA Grapalat" w:hAnsi="GHEA Grapalat"/>
          <w:b w:val="0"/>
          <w:sz w:val="24"/>
          <w:szCs w:val="24"/>
        </w:rPr>
        <w:t>Код</w:t>
      </w:r>
      <w:proofErr w:type="spellEnd"/>
      <w:r w:rsidRPr="0052386E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52386E">
        <w:rPr>
          <w:rFonts w:ascii="GHEA Grapalat" w:hAnsi="GHEA Grapalat"/>
          <w:b w:val="0"/>
          <w:sz w:val="24"/>
          <w:szCs w:val="24"/>
        </w:rPr>
        <w:t>процедуры</w:t>
      </w:r>
      <w:proofErr w:type="spellEnd"/>
      <w:r w:rsidRPr="0052386E">
        <w:rPr>
          <w:rFonts w:ascii="GHEA Grapalat" w:hAnsi="GHEA Grapalat"/>
          <w:b w:val="0"/>
          <w:sz w:val="24"/>
          <w:szCs w:val="24"/>
        </w:rPr>
        <w:t xml:space="preserve"> </w:t>
      </w:r>
      <w:r>
        <w:rPr>
          <w:rFonts w:ascii="GHEA Grapalat" w:hAnsi="GHEA Grapalat"/>
          <w:b w:val="0"/>
          <w:sz w:val="24"/>
          <w:szCs w:val="24"/>
        </w:rPr>
        <w:t>HHAN-GHKhTsDzB-21/35</w:t>
      </w:r>
    </w:p>
    <w:p w:rsidR="00FE203B" w:rsidRPr="0052386E" w:rsidRDefault="00FE203B" w:rsidP="00FE203B">
      <w:pPr>
        <w:spacing w:after="0"/>
        <w:rPr>
          <w:rFonts w:ascii="GHEA Grapalat" w:hAnsi="GHEA Grapalat"/>
          <w:lang w:val="ru-RU"/>
        </w:rPr>
      </w:pPr>
    </w:p>
    <w:p w:rsidR="00FE203B" w:rsidRPr="0052386E" w:rsidRDefault="00FE203B" w:rsidP="00FE203B">
      <w:pPr>
        <w:widowControl w:val="0"/>
        <w:spacing w:after="0"/>
        <w:ind w:firstLine="708"/>
        <w:jc w:val="both"/>
        <w:rPr>
          <w:rFonts w:ascii="GHEA Grapalat" w:eastAsia="Sylfaen" w:hAnsi="GHEA Grapalat"/>
        </w:rPr>
      </w:pPr>
      <w:r w:rsidRPr="0052386E">
        <w:rPr>
          <w:rFonts w:ascii="GHEA Grapalat" w:hAnsi="GHEA Grapalat"/>
          <w:szCs w:val="24"/>
          <w:lang w:val="hy-AM"/>
        </w:rPr>
        <w:t xml:space="preserve">   </w:t>
      </w:r>
      <w:r w:rsidRPr="0052386E">
        <w:rPr>
          <w:rFonts w:ascii="GHEA Grapalat" w:hAnsi="GHEA Grapalat"/>
          <w:sz w:val="20"/>
          <w:lang w:val="ru-RU"/>
        </w:rPr>
        <w:t xml:space="preserve">Министерство юстиции Республики Армения 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hAnsi="GHEA Grapalat"/>
          <w:sz w:val="20"/>
          <w:lang w:val="ru-RU"/>
        </w:rPr>
        <w:t>HHAN-GHKhTsDzB-21/35</w:t>
      </w:r>
      <w:r w:rsidRPr="0052386E">
        <w:rPr>
          <w:rFonts w:ascii="GHEA Grapalat" w:hAnsi="GHEA Grapalat"/>
          <w:sz w:val="20"/>
          <w:lang w:val="ru-RU"/>
        </w:rPr>
        <w:t xml:space="preserve">, организованной с целью приобретения </w:t>
      </w:r>
      <w:proofErr w:type="spellStart"/>
      <w:r>
        <w:rPr>
          <w:rFonts w:ascii="GHEA Grapalat" w:hAnsi="GHEA Grapalat"/>
          <w:b/>
          <w:sz w:val="20"/>
        </w:rPr>
        <w:t>консалтинговых</w:t>
      </w:r>
      <w:proofErr w:type="spellEnd"/>
      <w:r>
        <w:rPr>
          <w:rFonts w:ascii="GHEA Grapalat" w:hAnsi="GHEA Grapalat"/>
          <w:b/>
          <w:sz w:val="20"/>
        </w:rPr>
        <w:t xml:space="preserve"> </w:t>
      </w:r>
      <w:proofErr w:type="spellStart"/>
      <w:r>
        <w:rPr>
          <w:rFonts w:ascii="GHEA Grapalat" w:hAnsi="GHEA Grapalat"/>
          <w:b/>
          <w:sz w:val="20"/>
        </w:rPr>
        <w:t>услуг</w:t>
      </w:r>
      <w:proofErr w:type="spellEnd"/>
      <w:r w:rsidRPr="00C74D99">
        <w:rPr>
          <w:rFonts w:ascii="GHEA Grapalat" w:hAnsi="GHEA Grapalat"/>
          <w:b/>
          <w:sz w:val="20"/>
        </w:rPr>
        <w:t xml:space="preserve"> IT </w:t>
      </w:r>
      <w:proofErr w:type="spellStart"/>
      <w:r w:rsidRPr="00C74D99">
        <w:rPr>
          <w:rFonts w:ascii="GHEA Grapalat" w:hAnsi="GHEA Grapalat"/>
          <w:b/>
          <w:sz w:val="20"/>
        </w:rPr>
        <w:t>специалистa</w:t>
      </w:r>
      <w:proofErr w:type="spellEnd"/>
      <w:r w:rsidRPr="0052386E">
        <w:rPr>
          <w:rFonts w:ascii="GHEA Grapalat" w:hAnsi="GHEA Grapalat"/>
          <w:b/>
          <w:sz w:val="20"/>
          <w:lang w:val="ru-RU"/>
        </w:rPr>
        <w:t>.</w:t>
      </w:r>
    </w:p>
    <w:p w:rsidR="00FE203B" w:rsidRPr="0052386E" w:rsidRDefault="00FE203B" w:rsidP="00FE203B">
      <w:pPr>
        <w:widowControl w:val="0"/>
        <w:spacing w:after="0"/>
        <w:jc w:val="both"/>
        <w:rPr>
          <w:rFonts w:ascii="GHEA Grapalat" w:hAnsi="GHEA Grapalat"/>
          <w:sz w:val="20"/>
          <w:lang w:val="ru-RU"/>
        </w:rPr>
      </w:pPr>
      <w:r w:rsidRPr="0052386E">
        <w:rPr>
          <w:rFonts w:ascii="GHEA Grapalat" w:hAnsi="GHEA Grapalat"/>
          <w:sz w:val="20"/>
          <w:lang w:val="ru-RU"/>
        </w:rPr>
        <w:t>.</w:t>
      </w:r>
      <w:r w:rsidRPr="0052386E">
        <w:rPr>
          <w:rFonts w:ascii="GHEA Grapalat" w:hAnsi="GHEA Grapalat"/>
          <w:sz w:val="20"/>
        </w:rPr>
        <w:tab/>
      </w:r>
      <w:r w:rsidRPr="0052386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Pr="0052386E">
        <w:rPr>
          <w:rFonts w:ascii="GHEA Grapalat" w:hAnsi="GHEA Grapalat"/>
          <w:sz w:val="20"/>
        </w:rPr>
        <w:t>3</w:t>
      </w:r>
      <w:r w:rsidRPr="0052386E">
        <w:rPr>
          <w:rFonts w:ascii="GHEA Grapalat" w:hAnsi="GHEA Grapalat"/>
          <w:sz w:val="20"/>
          <w:lang w:val="ru-RU"/>
        </w:rPr>
        <w:t xml:space="preserve"> от </w:t>
      </w:r>
      <w:r>
        <w:rPr>
          <w:rFonts w:ascii="GHEA Grapalat" w:hAnsi="GHEA Grapalat"/>
          <w:sz w:val="20"/>
        </w:rPr>
        <w:t>0</w:t>
      </w:r>
      <w:r w:rsidRPr="0052386E">
        <w:rPr>
          <w:rFonts w:ascii="GHEA Grapalat" w:hAnsi="GHEA Grapalat"/>
          <w:sz w:val="20"/>
        </w:rPr>
        <w:t>1</w:t>
      </w:r>
      <w:r w:rsidRPr="0052386E">
        <w:rPr>
          <w:rFonts w:ascii="GHEA Grapalat" w:hAnsi="GHEA Grapalat"/>
          <w:sz w:val="20"/>
          <w:lang w:val="ru-RU"/>
        </w:rPr>
        <w:t xml:space="preserve"> </w:t>
      </w:r>
      <w:proofErr w:type="spellStart"/>
      <w:r>
        <w:rPr>
          <w:rFonts w:ascii="GHEA Grapalat" w:hAnsi="GHEA Grapalat"/>
          <w:sz w:val="20"/>
        </w:rPr>
        <w:t>ноябр</w:t>
      </w:r>
      <w:proofErr w:type="spellEnd"/>
      <w:r w:rsidRPr="0052386E">
        <w:rPr>
          <w:rFonts w:ascii="GHEA Grapalat" w:hAnsi="GHEA Grapalat"/>
          <w:sz w:val="20"/>
          <w:lang w:val="ru-RU"/>
        </w:rPr>
        <w:t>я 2021 года</w:t>
      </w:r>
      <w:r w:rsidRPr="0052386E">
        <w:rPr>
          <w:rFonts w:ascii="GHEA Grapalat" w:hAnsi="GHEA Grapalat"/>
          <w:sz w:val="20"/>
          <w:lang w:val="ru-RU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E203B" w:rsidRPr="0052386E" w:rsidRDefault="00FE203B" w:rsidP="00FE203B">
      <w:pPr>
        <w:widowControl w:val="0"/>
        <w:spacing w:after="0"/>
        <w:jc w:val="both"/>
        <w:rPr>
          <w:rFonts w:ascii="GHEA Grapalat" w:hAnsi="GHEA Grapalat"/>
          <w:sz w:val="20"/>
        </w:rPr>
      </w:pPr>
    </w:p>
    <w:tbl>
      <w:tblPr>
        <w:tblW w:w="101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0"/>
        <w:gridCol w:w="851"/>
        <w:gridCol w:w="1912"/>
        <w:gridCol w:w="1300"/>
        <w:gridCol w:w="731"/>
        <w:gridCol w:w="1727"/>
        <w:gridCol w:w="343"/>
        <w:gridCol w:w="2651"/>
      </w:tblGrid>
      <w:tr w:rsidR="00FE203B" w:rsidRPr="0052386E" w:rsidTr="006106A2">
        <w:trPr>
          <w:trHeight w:val="640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52386E">
              <w:rPr>
                <w:rFonts w:ascii="GHEA Grapalat" w:hAnsi="GHEA Grapalat"/>
                <w:sz w:val="20"/>
                <w:lang w:val="ru-RU"/>
              </w:rPr>
              <w:br w:type="page"/>
            </w:r>
            <w:r w:rsidRPr="0052386E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2386E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52386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2386E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52386E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2386E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2386E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52386E">
              <w:rPr>
                <w:rFonts w:ascii="GHEA Grapalat" w:hAnsi="GHEA Grapalat"/>
                <w:sz w:val="20"/>
              </w:rPr>
              <w:t>X</w:t>
            </w:r>
            <w:r w:rsidRPr="0052386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2386E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2386E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52386E">
              <w:rPr>
                <w:rFonts w:ascii="GHEA Grapalat" w:hAnsi="GHEA Grapalat"/>
                <w:sz w:val="20"/>
              </w:rPr>
              <w:t>X</w:t>
            </w:r>
            <w:r w:rsidRPr="0052386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2386E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52386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2386E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52386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2386E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FE203B" w:rsidRPr="0052386E" w:rsidTr="006106A2">
        <w:trPr>
          <w:trHeight w:val="541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386E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FE203B" w:rsidRPr="0052386E" w:rsidRDefault="00FE203B" w:rsidP="006106A2">
            <w:pPr>
              <w:pStyle w:val="Defaul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>&lt;</w:t>
            </w:r>
            <w:proofErr w:type="spellStart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>Центр</w:t>
            </w:r>
            <w:proofErr w:type="spellEnd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>технологий</w:t>
            </w:r>
            <w:proofErr w:type="spellEnd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>осведомленности</w:t>
            </w:r>
            <w:proofErr w:type="spellEnd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>социальных</w:t>
            </w:r>
            <w:proofErr w:type="spellEnd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>служб</w:t>
            </w:r>
            <w:proofErr w:type="spellEnd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 xml:space="preserve"> &lt;НОРК&gt;&gt; </w:t>
            </w:r>
            <w:proofErr w:type="spellStart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>фонд</w:t>
            </w:r>
            <w:proofErr w:type="spellEnd"/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523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E203B" w:rsidRPr="0052386E" w:rsidTr="006106A2">
        <w:trPr>
          <w:trHeight w:val="541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52386E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FE203B" w:rsidRPr="0052386E" w:rsidRDefault="00FE203B" w:rsidP="006106A2">
            <w:pPr>
              <w:pStyle w:val="Defaul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472C6D">
              <w:rPr>
                <w:rFonts w:ascii="GHEA Grapalat" w:hAnsi="GHEA Grapalat" w:cs="Times New Roman"/>
                <w:b/>
                <w:color w:val="auto"/>
                <w:sz w:val="20"/>
                <w:szCs w:val="20"/>
              </w:rPr>
              <w:t>Армен</w:t>
            </w:r>
            <w:proofErr w:type="spellEnd"/>
            <w:r w:rsidRPr="00472C6D">
              <w:rPr>
                <w:rFonts w:ascii="GHEA Grapalat" w:hAnsi="GHEA Grapalat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72C6D">
              <w:rPr>
                <w:rFonts w:ascii="GHEA Grapalat" w:hAnsi="GHEA Grapalat" w:cs="Times New Roman"/>
                <w:b/>
                <w:color w:val="auto"/>
                <w:sz w:val="20"/>
                <w:szCs w:val="20"/>
              </w:rPr>
              <w:t>Мкртчян</w:t>
            </w:r>
            <w:proofErr w:type="spellEnd"/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E203B" w:rsidRPr="0052386E" w:rsidTr="006106A2">
        <w:trPr>
          <w:trHeight w:val="580"/>
          <w:jc w:val="center"/>
        </w:trPr>
        <w:tc>
          <w:tcPr>
            <w:tcW w:w="101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FE203B" w:rsidRPr="0052386E" w:rsidRDefault="00FE203B" w:rsidP="00FE203B">
            <w:pPr>
              <w:widowControl w:val="0"/>
              <w:spacing w:after="0"/>
              <w:jc w:val="both"/>
              <w:rPr>
                <w:rFonts w:ascii="GHEA Grapalat" w:hAnsi="GHEA Grapalat"/>
                <w:b/>
                <w:sz w:val="20"/>
              </w:rPr>
            </w:pPr>
            <w:r w:rsidRPr="0052386E">
              <w:rPr>
                <w:rFonts w:ascii="GHEA Grapalat" w:hAnsi="GHEA Grapalat"/>
                <w:sz w:val="20"/>
                <w:lang w:val="ru-RU"/>
              </w:rPr>
              <w:t>Лот 1</w:t>
            </w:r>
            <w:r w:rsidRPr="0052386E">
              <w:rPr>
                <w:rFonts w:ascii="GHEA Grapalat" w:hAnsi="GHEA Grapalat"/>
                <w:sz w:val="20"/>
                <w:lang w:val="hy-AM"/>
              </w:rPr>
              <w:t>.</w:t>
            </w:r>
            <w:r w:rsidRPr="0052386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52386E">
              <w:rPr>
                <w:rFonts w:ascii="GHEA Grapalat" w:hAnsi="GHEA Grapalat"/>
                <w:b/>
                <w:sz w:val="20"/>
                <w:lang w:val="ru-RU"/>
              </w:rPr>
              <w:t xml:space="preserve">Предметом закупки является: </w:t>
            </w:r>
            <w:proofErr w:type="spellStart"/>
            <w:r w:rsidRPr="00C74D99">
              <w:rPr>
                <w:rFonts w:ascii="GHEA Grapalat" w:hAnsi="GHEA Grapalat"/>
                <w:b/>
                <w:i/>
                <w:sz w:val="20"/>
              </w:rPr>
              <w:t>консалтинговые</w:t>
            </w:r>
            <w:proofErr w:type="spellEnd"/>
            <w:r w:rsidRPr="00C74D99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proofErr w:type="spellStart"/>
            <w:r w:rsidRPr="00C74D99">
              <w:rPr>
                <w:rFonts w:ascii="GHEA Grapalat" w:hAnsi="GHEA Grapalat"/>
                <w:b/>
                <w:i/>
                <w:sz w:val="20"/>
              </w:rPr>
              <w:t>услуги</w:t>
            </w:r>
            <w:proofErr w:type="spellEnd"/>
            <w:r w:rsidRPr="00C74D99">
              <w:rPr>
                <w:rFonts w:ascii="GHEA Grapalat" w:hAnsi="GHEA Grapalat"/>
                <w:b/>
                <w:i/>
                <w:sz w:val="20"/>
              </w:rPr>
              <w:t xml:space="preserve"> IT </w:t>
            </w:r>
            <w:proofErr w:type="spellStart"/>
            <w:r w:rsidRPr="00C74D99">
              <w:rPr>
                <w:rFonts w:ascii="GHEA Grapalat" w:hAnsi="GHEA Grapalat"/>
                <w:b/>
                <w:i/>
                <w:sz w:val="20"/>
              </w:rPr>
              <w:t>специалистa</w:t>
            </w:r>
            <w:proofErr w:type="spellEnd"/>
          </w:p>
        </w:tc>
      </w:tr>
      <w:tr w:rsidR="00FE203B" w:rsidRPr="0052386E" w:rsidTr="006106A2">
        <w:trPr>
          <w:trHeight w:val="763"/>
          <w:jc w:val="center"/>
        </w:trPr>
        <w:tc>
          <w:tcPr>
            <w:tcW w:w="14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2386E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52386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2386E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52386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2386E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32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2386E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52386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2386E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52386E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2386E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52386E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52386E">
              <w:rPr>
                <w:rFonts w:ascii="GHEA Grapalat" w:hAnsi="GHEA Grapalat"/>
                <w:sz w:val="20"/>
              </w:rPr>
              <w:t>X</w:t>
            </w:r>
            <w:r w:rsidRPr="0052386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2386E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2386E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FE203B" w:rsidRPr="0052386E" w:rsidTr="006106A2">
        <w:trPr>
          <w:trHeight w:val="615"/>
          <w:jc w:val="center"/>
        </w:trPr>
        <w:tc>
          <w:tcPr>
            <w:tcW w:w="1481" w:type="dxa"/>
            <w:gridSpan w:val="2"/>
            <w:shd w:val="clear" w:color="auto" w:fill="auto"/>
            <w:vAlign w:val="center"/>
          </w:tcPr>
          <w:p w:rsidR="00FE203B" w:rsidRPr="0052386E" w:rsidRDefault="00FE203B" w:rsidP="00FE203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86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</w:tcPr>
          <w:p w:rsidR="00FE203B" w:rsidRPr="0052386E" w:rsidRDefault="00FE203B" w:rsidP="006106A2">
            <w:pPr>
              <w:pStyle w:val="Defaul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>&lt;</w:t>
            </w:r>
            <w:proofErr w:type="spellStart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>Центр</w:t>
            </w:r>
            <w:proofErr w:type="spellEnd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>технологий</w:t>
            </w:r>
            <w:proofErr w:type="spellEnd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>осведомленности</w:t>
            </w:r>
            <w:proofErr w:type="spellEnd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>социальных</w:t>
            </w:r>
            <w:proofErr w:type="spellEnd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>служб</w:t>
            </w:r>
            <w:proofErr w:type="spellEnd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 xml:space="preserve"> &lt;НОРК&gt;&gt; </w:t>
            </w:r>
            <w:proofErr w:type="spellStart"/>
            <w:r w:rsidRPr="004C082F">
              <w:rPr>
                <w:rFonts w:ascii="GHEA Grapalat" w:hAnsi="GHEA Grapalat" w:cs="Times New Roman"/>
                <w:b/>
                <w:color w:val="auto"/>
                <w:sz w:val="18"/>
                <w:szCs w:val="18"/>
              </w:rPr>
              <w:t>фонд</w:t>
            </w:r>
            <w:proofErr w:type="spellEnd"/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523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4" w:type="dxa"/>
            <w:gridSpan w:val="2"/>
            <w:shd w:val="clear" w:color="auto" w:fill="auto"/>
            <w:vAlign w:val="center"/>
          </w:tcPr>
          <w:p w:rsidR="00FE203B" w:rsidRPr="00552C9C" w:rsidRDefault="00FE203B" w:rsidP="006106A2">
            <w:pPr>
              <w:pStyle w:val="Default"/>
              <w:jc w:val="center"/>
              <w:rPr>
                <w:rFonts w:ascii="GHEA Grapalat" w:eastAsia="Sylfaen" w:hAnsi="GHEA Grapalat" w:cs="Times New Roman"/>
                <w:b/>
                <w:color w:val="auto"/>
                <w:sz w:val="20"/>
                <w:szCs w:val="20"/>
              </w:rPr>
            </w:pPr>
            <w:r w:rsidRPr="00341957">
              <w:rPr>
                <w:rFonts w:ascii="GHEA Grapalat" w:hAnsi="GHEA Grapalat" w:cs="Times New Roman"/>
                <w:b/>
                <w:color w:val="auto"/>
                <w:sz w:val="20"/>
                <w:szCs w:val="20"/>
              </w:rPr>
              <w:t>2 572 000</w:t>
            </w:r>
          </w:p>
        </w:tc>
      </w:tr>
      <w:tr w:rsidR="00FE203B" w:rsidRPr="0052386E" w:rsidTr="006106A2">
        <w:trPr>
          <w:trHeight w:val="615"/>
          <w:jc w:val="center"/>
        </w:trPr>
        <w:tc>
          <w:tcPr>
            <w:tcW w:w="1481" w:type="dxa"/>
            <w:gridSpan w:val="2"/>
            <w:shd w:val="clear" w:color="auto" w:fill="auto"/>
            <w:vAlign w:val="center"/>
          </w:tcPr>
          <w:p w:rsidR="00FE203B" w:rsidRPr="0052386E" w:rsidRDefault="00FE203B" w:rsidP="00FE203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86E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</w:tcPr>
          <w:p w:rsidR="00FE203B" w:rsidRPr="0052386E" w:rsidRDefault="00FE203B" w:rsidP="006106A2">
            <w:pPr>
              <w:pStyle w:val="Defaul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472C6D">
              <w:rPr>
                <w:rFonts w:ascii="GHEA Grapalat" w:hAnsi="GHEA Grapalat" w:cs="Times New Roman"/>
                <w:b/>
                <w:color w:val="auto"/>
                <w:sz w:val="20"/>
                <w:szCs w:val="20"/>
              </w:rPr>
              <w:t>Армен</w:t>
            </w:r>
            <w:proofErr w:type="spellEnd"/>
            <w:r w:rsidRPr="00472C6D">
              <w:rPr>
                <w:rFonts w:ascii="GHEA Grapalat" w:hAnsi="GHEA Grapalat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72C6D">
              <w:rPr>
                <w:rFonts w:ascii="GHEA Grapalat" w:hAnsi="GHEA Grapalat" w:cs="Times New Roman"/>
                <w:b/>
                <w:color w:val="auto"/>
                <w:sz w:val="20"/>
                <w:szCs w:val="20"/>
              </w:rPr>
              <w:t>Мкртчян</w:t>
            </w:r>
            <w:proofErr w:type="spellEnd"/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FE203B" w:rsidRPr="0052386E" w:rsidRDefault="00FE203B" w:rsidP="00FE203B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4" w:type="dxa"/>
            <w:gridSpan w:val="2"/>
            <w:shd w:val="clear" w:color="auto" w:fill="auto"/>
            <w:vAlign w:val="center"/>
          </w:tcPr>
          <w:p w:rsidR="00FE203B" w:rsidRPr="00552C9C" w:rsidRDefault="00FE203B" w:rsidP="006106A2">
            <w:pPr>
              <w:pStyle w:val="Default"/>
              <w:jc w:val="center"/>
              <w:rPr>
                <w:rFonts w:ascii="GHEA Grapalat" w:eastAsia="Sylfaen" w:hAnsi="GHEA Grapalat" w:cs="Times New Roman"/>
                <w:b/>
                <w:color w:val="auto"/>
                <w:sz w:val="20"/>
                <w:szCs w:val="20"/>
              </w:rPr>
            </w:pPr>
            <w:r w:rsidRPr="00341957">
              <w:rPr>
                <w:rFonts w:ascii="GHEA Grapalat" w:hAnsi="GHEA Grapalat" w:cs="Times New Roman"/>
                <w:b/>
                <w:color w:val="auto"/>
                <w:sz w:val="20"/>
                <w:szCs w:val="20"/>
              </w:rPr>
              <w:t>3 675 000</w:t>
            </w:r>
          </w:p>
        </w:tc>
      </w:tr>
    </w:tbl>
    <w:p w:rsidR="00FE203B" w:rsidRPr="0052386E" w:rsidRDefault="00FE203B" w:rsidP="00FE203B">
      <w:pPr>
        <w:widowControl w:val="0"/>
        <w:spacing w:after="0"/>
        <w:jc w:val="both"/>
        <w:rPr>
          <w:rFonts w:ascii="GHEA Grapalat" w:hAnsi="GHEA Grapalat"/>
          <w:sz w:val="20"/>
        </w:rPr>
      </w:pPr>
      <w:r w:rsidRPr="0052386E">
        <w:rPr>
          <w:rFonts w:ascii="GHEA Grapalat" w:hAnsi="GHEA Grapalat"/>
          <w:sz w:val="20"/>
          <w:lang w:val="hy-AM"/>
        </w:rPr>
        <w:t xml:space="preserve">    </w:t>
      </w:r>
    </w:p>
    <w:p w:rsidR="00FE203B" w:rsidRPr="0052386E" w:rsidRDefault="00FE203B" w:rsidP="00FE203B">
      <w:pPr>
        <w:widowControl w:val="0"/>
        <w:spacing w:after="0"/>
        <w:ind w:firstLine="708"/>
        <w:jc w:val="both"/>
        <w:rPr>
          <w:rFonts w:ascii="GHEA Grapalat" w:hAnsi="GHEA Grapalat"/>
        </w:rPr>
      </w:pPr>
      <w:r w:rsidRPr="0052386E">
        <w:rPr>
          <w:rFonts w:ascii="GHEA Grapalat" w:hAnsi="GHEA Grapalat"/>
          <w:lang w:val="ru-RU"/>
        </w:rPr>
        <w:t>Критерий, примененный для определения отобранного участника: представлен</w:t>
      </w:r>
      <w:r w:rsidRPr="0052386E">
        <w:rPr>
          <w:rFonts w:ascii="GHEA Grapalat" w:hAnsi="GHEA Grapalat"/>
        </w:rPr>
        <w:t>o</w:t>
      </w:r>
      <w:r w:rsidRPr="0052386E">
        <w:rPr>
          <w:rFonts w:ascii="GHEA Grapalat" w:hAnsi="GHEA Grapalat"/>
          <w:lang w:val="ru-RU"/>
        </w:rPr>
        <w:t xml:space="preserve"> в соответствии с установленными приглашением требованиями и удовлетворительным ценовым предложением.</w:t>
      </w:r>
    </w:p>
    <w:p w:rsidR="00FE203B" w:rsidRPr="0052386E" w:rsidRDefault="00FE203B" w:rsidP="00FE203B">
      <w:pPr>
        <w:widowControl w:val="0"/>
        <w:spacing w:after="0"/>
        <w:ind w:firstLine="708"/>
        <w:jc w:val="both"/>
        <w:rPr>
          <w:rFonts w:ascii="GHEA Grapalat" w:hAnsi="GHEA Grapalat"/>
        </w:rPr>
      </w:pPr>
      <w:proofErr w:type="spellStart"/>
      <w:proofErr w:type="gramStart"/>
      <w:r w:rsidRPr="0052386E">
        <w:rPr>
          <w:rFonts w:ascii="GHEA Grapalat" w:hAnsi="GHEA Grapalat"/>
        </w:rPr>
        <w:t>Комиссия</w:t>
      </w:r>
      <w:proofErr w:type="spellEnd"/>
      <w:r w:rsidRPr="0052386E">
        <w:rPr>
          <w:rFonts w:ascii="GHEA Grapalat" w:hAnsi="GHEA Grapalat"/>
        </w:rPr>
        <w:t xml:space="preserve">  </w:t>
      </w:r>
      <w:proofErr w:type="spellStart"/>
      <w:r w:rsidRPr="0052386E">
        <w:rPr>
          <w:rFonts w:ascii="GHEA Grapalat" w:hAnsi="GHEA Grapalat"/>
        </w:rPr>
        <w:t>решила</w:t>
      </w:r>
      <w:proofErr w:type="spellEnd"/>
      <w:proofErr w:type="gramEnd"/>
      <w:r w:rsidRPr="0052386E">
        <w:rPr>
          <w:rFonts w:ascii="GHEA Grapalat" w:hAnsi="GHEA Grapalat"/>
        </w:rPr>
        <w:t xml:space="preserve">  </w:t>
      </w:r>
      <w:proofErr w:type="spellStart"/>
      <w:r w:rsidRPr="0052386E">
        <w:rPr>
          <w:rFonts w:ascii="GHEA Grapalat" w:hAnsi="GHEA Grapalat"/>
        </w:rPr>
        <w:t>признать</w:t>
      </w:r>
      <w:proofErr w:type="spellEnd"/>
      <w:r w:rsidRPr="0052386E">
        <w:rPr>
          <w:rFonts w:ascii="GHEA Grapalat" w:hAnsi="GHEA Grapalat"/>
        </w:rPr>
        <w:t xml:space="preserve"> </w:t>
      </w:r>
      <w:r w:rsidRPr="00891614">
        <w:rPr>
          <w:rFonts w:ascii="GHEA Grapalat" w:hAnsi="GHEA Grapalat"/>
        </w:rPr>
        <w:t>&lt;</w:t>
      </w:r>
      <w:proofErr w:type="spellStart"/>
      <w:r w:rsidRPr="00891614">
        <w:rPr>
          <w:rFonts w:ascii="GHEA Grapalat" w:hAnsi="GHEA Grapalat"/>
        </w:rPr>
        <w:t>Центр</w:t>
      </w:r>
      <w:proofErr w:type="spellEnd"/>
      <w:r w:rsidRPr="00891614">
        <w:rPr>
          <w:rFonts w:ascii="GHEA Grapalat" w:hAnsi="GHEA Grapalat"/>
        </w:rPr>
        <w:t xml:space="preserve"> </w:t>
      </w:r>
      <w:proofErr w:type="spellStart"/>
      <w:r w:rsidRPr="00891614">
        <w:rPr>
          <w:rFonts w:ascii="GHEA Grapalat" w:hAnsi="GHEA Grapalat"/>
        </w:rPr>
        <w:t>технологий</w:t>
      </w:r>
      <w:proofErr w:type="spellEnd"/>
      <w:r w:rsidRPr="00891614">
        <w:rPr>
          <w:rFonts w:ascii="GHEA Grapalat" w:hAnsi="GHEA Grapalat"/>
        </w:rPr>
        <w:t xml:space="preserve"> и </w:t>
      </w:r>
      <w:proofErr w:type="spellStart"/>
      <w:r w:rsidRPr="00891614">
        <w:rPr>
          <w:rFonts w:ascii="GHEA Grapalat" w:hAnsi="GHEA Grapalat"/>
        </w:rPr>
        <w:t>осведомленности</w:t>
      </w:r>
      <w:proofErr w:type="spellEnd"/>
      <w:r w:rsidRPr="00891614">
        <w:rPr>
          <w:rFonts w:ascii="GHEA Grapalat" w:hAnsi="GHEA Grapalat"/>
        </w:rPr>
        <w:t xml:space="preserve"> </w:t>
      </w:r>
      <w:proofErr w:type="spellStart"/>
      <w:r w:rsidRPr="00891614">
        <w:rPr>
          <w:rFonts w:ascii="GHEA Grapalat" w:hAnsi="GHEA Grapalat"/>
        </w:rPr>
        <w:t>социальных</w:t>
      </w:r>
      <w:proofErr w:type="spellEnd"/>
      <w:r w:rsidRPr="00891614">
        <w:rPr>
          <w:rFonts w:ascii="GHEA Grapalat" w:hAnsi="GHEA Grapalat"/>
        </w:rPr>
        <w:t xml:space="preserve"> </w:t>
      </w:r>
      <w:proofErr w:type="spellStart"/>
      <w:r w:rsidRPr="00891614">
        <w:rPr>
          <w:rFonts w:ascii="GHEA Grapalat" w:hAnsi="GHEA Grapalat"/>
        </w:rPr>
        <w:t>служб</w:t>
      </w:r>
      <w:proofErr w:type="spellEnd"/>
      <w:r w:rsidRPr="00891614">
        <w:rPr>
          <w:rFonts w:ascii="GHEA Grapalat" w:hAnsi="GHEA Grapalat"/>
        </w:rPr>
        <w:t xml:space="preserve"> &lt;НОРК&gt;&gt; </w:t>
      </w:r>
      <w:proofErr w:type="spellStart"/>
      <w:r w:rsidRPr="00891614">
        <w:rPr>
          <w:rFonts w:ascii="GHEA Grapalat" w:hAnsi="GHEA Grapalat"/>
        </w:rPr>
        <w:t>фонд</w:t>
      </w:r>
      <w:proofErr w:type="spellEnd"/>
      <w:r w:rsidRPr="00891614">
        <w:rPr>
          <w:rFonts w:ascii="GHEA Grapalat" w:hAnsi="GHEA Grapalat"/>
        </w:rPr>
        <w:t xml:space="preserve"> </w:t>
      </w:r>
      <w:proofErr w:type="spellStart"/>
      <w:r w:rsidRPr="0052386E">
        <w:rPr>
          <w:rFonts w:ascii="GHEA Grapalat" w:hAnsi="GHEA Grapalat"/>
        </w:rPr>
        <w:t>избранным</w:t>
      </w:r>
      <w:proofErr w:type="spellEnd"/>
      <w:r w:rsidRPr="0052386E">
        <w:rPr>
          <w:rFonts w:ascii="GHEA Grapalat" w:hAnsi="GHEA Grapalat"/>
        </w:rPr>
        <w:t xml:space="preserve"> </w:t>
      </w:r>
      <w:proofErr w:type="spellStart"/>
      <w:r w:rsidRPr="0052386E">
        <w:rPr>
          <w:rFonts w:ascii="GHEA Grapalat" w:hAnsi="GHEA Grapalat"/>
        </w:rPr>
        <w:t>участником</w:t>
      </w:r>
      <w:proofErr w:type="spellEnd"/>
      <w:r w:rsidRPr="0052386E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заседания</w:t>
      </w:r>
      <w:proofErr w:type="spellEnd"/>
      <w:r>
        <w:rPr>
          <w:rFonts w:ascii="GHEA Grapalat" w:hAnsi="GHEA Grapalat"/>
        </w:rPr>
        <w:t>.</w:t>
      </w:r>
    </w:p>
    <w:p w:rsidR="00FE203B" w:rsidRPr="0052386E" w:rsidRDefault="00FE203B" w:rsidP="00FE203B">
      <w:pPr>
        <w:widowControl w:val="0"/>
        <w:spacing w:after="0"/>
        <w:jc w:val="both"/>
        <w:rPr>
          <w:rFonts w:ascii="GHEA Grapalat" w:hAnsi="GHEA Grapalat"/>
          <w:spacing w:val="-6"/>
        </w:rPr>
      </w:pPr>
      <w:r w:rsidRPr="0052386E">
        <w:rPr>
          <w:rFonts w:ascii="GHEA Grapalat" w:hAnsi="GHEA Grapalat"/>
          <w:lang w:val="hy-AM"/>
        </w:rPr>
        <w:t xml:space="preserve">    </w:t>
      </w:r>
      <w:r w:rsidRPr="0052386E">
        <w:rPr>
          <w:rFonts w:ascii="GHEA Grapalat" w:hAnsi="GHEA Grapalat"/>
        </w:rPr>
        <w:tab/>
      </w:r>
      <w:r w:rsidRPr="0052386E">
        <w:rPr>
          <w:rFonts w:ascii="GHEA Grapalat" w:hAnsi="GHEA Grapalat"/>
          <w:lang w:val="hy-AM"/>
        </w:rPr>
        <w:t xml:space="preserve"> </w:t>
      </w:r>
      <w:r w:rsidRPr="0052386E">
        <w:rPr>
          <w:rFonts w:ascii="GHEA Grapalat" w:hAnsi="GHEA Grapalat"/>
          <w:lang w:val="ru-RU"/>
        </w:rPr>
        <w:t>Согласно статье 10 Закона Республики Армения "О закупках" период</w:t>
      </w:r>
      <w:r w:rsidRPr="0052386E">
        <w:rPr>
          <w:rFonts w:ascii="Times New Roman" w:hAnsi="Times New Roman"/>
        </w:rPr>
        <w:t> </w:t>
      </w:r>
      <w:r w:rsidRPr="0052386E">
        <w:rPr>
          <w:rFonts w:ascii="GHEA Grapalat" w:hAnsi="GHEA Grapalat"/>
          <w:lang w:val="ru-RU"/>
        </w:rPr>
        <w:t>ожидания установлиявется</w:t>
      </w:r>
      <w:r w:rsidRPr="0052386E">
        <w:rPr>
          <w:rFonts w:ascii="GHEA Grapalat" w:hAnsi="GHEA Grapalat"/>
        </w:rPr>
        <w:t xml:space="preserve"> 5 </w:t>
      </w:r>
      <w:proofErr w:type="spellStart"/>
      <w:r w:rsidRPr="0052386E">
        <w:rPr>
          <w:rFonts w:ascii="GHEA Grapalat" w:hAnsi="GHEA Grapalat"/>
        </w:rPr>
        <w:t>календарных</w:t>
      </w:r>
      <w:proofErr w:type="spellEnd"/>
      <w:r w:rsidRPr="0052386E">
        <w:rPr>
          <w:rFonts w:ascii="GHEA Grapalat" w:hAnsi="GHEA Grapalat"/>
        </w:rPr>
        <w:t xml:space="preserve"> </w:t>
      </w:r>
      <w:proofErr w:type="spellStart"/>
      <w:r w:rsidRPr="0052386E">
        <w:rPr>
          <w:rFonts w:ascii="GHEA Grapalat" w:hAnsi="GHEA Grapalat"/>
        </w:rPr>
        <w:t>дней</w:t>
      </w:r>
      <w:proofErr w:type="spellEnd"/>
      <w:r w:rsidRPr="0052386E">
        <w:rPr>
          <w:rFonts w:ascii="GHEA Grapalat" w:hAnsi="GHEA Grapalat"/>
          <w:spacing w:val="-6"/>
          <w:lang w:val="ru-RU"/>
        </w:rPr>
        <w:t>.</w:t>
      </w:r>
    </w:p>
    <w:p w:rsidR="00FE203B" w:rsidRPr="0052386E" w:rsidRDefault="00FE203B" w:rsidP="00FE203B">
      <w:pPr>
        <w:widowControl w:val="0"/>
        <w:spacing w:after="0"/>
        <w:ind w:firstLine="708"/>
        <w:jc w:val="both"/>
        <w:rPr>
          <w:rFonts w:ascii="GHEA Grapalat" w:hAnsi="GHEA Grapalat"/>
          <w:lang w:val="ru-RU"/>
        </w:rPr>
      </w:pPr>
      <w:r w:rsidRPr="0052386E">
        <w:rPr>
          <w:rFonts w:ascii="GHEA Grapalat" w:hAnsi="GHEA Grapalat"/>
          <w:spacing w:val="-6"/>
          <w:lang w:val="ru-RU"/>
        </w:rPr>
        <w:t xml:space="preserve"> Для получения дополнительной информации, связанной с настоящим </w:t>
      </w:r>
      <w:r w:rsidRPr="0052386E">
        <w:rPr>
          <w:rFonts w:ascii="GHEA Grapalat" w:hAnsi="GHEA Grapalat"/>
          <w:lang w:val="ru-RU"/>
        </w:rPr>
        <w:t xml:space="preserve">объявлением, можно обратиться секретарю оценочной комиссии </w:t>
      </w:r>
      <w:r>
        <w:rPr>
          <w:rFonts w:ascii="GHEA Grapalat" w:hAnsi="GHEA Grapalat"/>
        </w:rPr>
        <w:t>А</w:t>
      </w:r>
      <w:r w:rsidRPr="0052386E">
        <w:rPr>
          <w:rFonts w:ascii="GHEA Grapalat" w:hAnsi="GHEA Grapalat"/>
          <w:lang w:val="ru-RU"/>
        </w:rPr>
        <w:t xml:space="preserve">. </w:t>
      </w:r>
      <w:proofErr w:type="spellStart"/>
      <w:proofErr w:type="gramStart"/>
      <w:r>
        <w:rPr>
          <w:rFonts w:ascii="GHEA Grapalat" w:hAnsi="GHEA Grapalat"/>
        </w:rPr>
        <w:t>Аветис</w:t>
      </w:r>
      <w:proofErr w:type="spellEnd"/>
      <w:r w:rsidRPr="0052386E">
        <w:rPr>
          <w:rFonts w:ascii="GHEA Grapalat" w:hAnsi="GHEA Grapalat"/>
          <w:lang w:val="ru-RU"/>
        </w:rPr>
        <w:t xml:space="preserve">ян к секретарю Оценочной комиссии под кодом </w:t>
      </w:r>
      <w:r>
        <w:rPr>
          <w:rFonts w:ascii="GHEA Grapalat" w:hAnsi="GHEA Grapalat"/>
        </w:rPr>
        <w:t>HHAN-GHKhTsDzB-21/35</w:t>
      </w:r>
      <w:r w:rsidRPr="0052386E">
        <w:rPr>
          <w:rFonts w:ascii="GHEA Grapalat" w:hAnsi="GHEA Grapalat"/>
          <w:lang w:val="ru-RU"/>
        </w:rPr>
        <w:t>.</w:t>
      </w:r>
      <w:proofErr w:type="gramEnd"/>
    </w:p>
    <w:p w:rsidR="00FE203B" w:rsidRPr="008B7834" w:rsidRDefault="00FE203B" w:rsidP="00FE203B">
      <w:pPr>
        <w:widowControl w:val="0"/>
        <w:spacing w:after="0"/>
        <w:ind w:firstLine="708"/>
        <w:jc w:val="both"/>
        <w:rPr>
          <w:rFonts w:ascii="GHEA Grapalat" w:hAnsi="GHEA Grapalat"/>
        </w:rPr>
      </w:pPr>
      <w:r w:rsidRPr="0052386E">
        <w:rPr>
          <w:rFonts w:ascii="GHEA Grapalat" w:hAnsi="GHEA Grapalat"/>
          <w:lang w:val="ru-RU"/>
        </w:rPr>
        <w:t xml:space="preserve">Телефон: </w:t>
      </w:r>
      <w:r>
        <w:rPr>
          <w:rFonts w:ascii="GHEA Grapalat" w:hAnsi="GHEA Grapalat"/>
          <w:lang w:val="ru-RU"/>
        </w:rPr>
        <w:t>01059</w:t>
      </w:r>
      <w:r>
        <w:rPr>
          <w:rFonts w:ascii="GHEA Grapalat" w:hAnsi="GHEA Grapalat"/>
        </w:rPr>
        <w:t>39</w:t>
      </w:r>
      <w:r w:rsidRPr="008B7834">
        <w:rPr>
          <w:rFonts w:ascii="GHEA Grapalat" w:hAnsi="GHEA Grapalat"/>
          <w:lang w:val="ru-RU"/>
        </w:rPr>
        <w:t>45</w:t>
      </w:r>
    </w:p>
    <w:p w:rsidR="00FE203B" w:rsidRPr="008B7834" w:rsidRDefault="00FE203B" w:rsidP="00FE203B">
      <w:pPr>
        <w:widowControl w:val="0"/>
        <w:spacing w:after="0"/>
        <w:ind w:firstLine="708"/>
        <w:jc w:val="both"/>
        <w:rPr>
          <w:rFonts w:ascii="GHEA Grapalat" w:hAnsi="GHEA Grapalat"/>
        </w:rPr>
      </w:pPr>
      <w:proofErr w:type="spellStart"/>
      <w:r w:rsidRPr="008B7834">
        <w:rPr>
          <w:rFonts w:ascii="GHEA Grapalat" w:hAnsi="GHEA Grapalat"/>
        </w:rPr>
        <w:t>Эл</w:t>
      </w:r>
      <w:proofErr w:type="spellEnd"/>
      <w:r w:rsidRPr="008B7834">
        <w:rPr>
          <w:rFonts w:ascii="GHEA Grapalat" w:hAnsi="GHEA Grapalat"/>
        </w:rPr>
        <w:t xml:space="preserve">. </w:t>
      </w:r>
      <w:proofErr w:type="spellStart"/>
      <w:r w:rsidRPr="008B7834">
        <w:rPr>
          <w:rFonts w:ascii="GHEA Grapalat" w:hAnsi="GHEA Grapalat"/>
        </w:rPr>
        <w:t>адрес</w:t>
      </w:r>
      <w:proofErr w:type="spellEnd"/>
      <w:r w:rsidRPr="008B7834">
        <w:rPr>
          <w:rFonts w:ascii="GHEA Grapalat" w:hAnsi="GHEA Grapalat"/>
        </w:rPr>
        <w:t xml:space="preserve">: </w:t>
      </w:r>
      <w:hyperlink r:id="rId7" w:history="1">
        <w:r w:rsidRPr="008B7834">
          <w:rPr>
            <w:rFonts w:ascii="GHEA Grapalat" w:hAnsi="GHEA Grapalat"/>
          </w:rPr>
          <w:t>artur.avetisyan@moj.am</w:t>
        </w:r>
      </w:hyperlink>
    </w:p>
    <w:p w:rsidR="00FE203B" w:rsidRPr="0052386E" w:rsidRDefault="00FE203B" w:rsidP="00FE203B">
      <w:pPr>
        <w:widowControl w:val="0"/>
        <w:spacing w:after="0"/>
        <w:jc w:val="both"/>
        <w:rPr>
          <w:rFonts w:ascii="GHEA Grapalat" w:hAnsi="GHEA Grapalat"/>
          <w:lang w:val="ru-RU"/>
        </w:rPr>
      </w:pPr>
    </w:p>
    <w:p w:rsidR="00FE203B" w:rsidRPr="00FE203B" w:rsidRDefault="00FE203B" w:rsidP="00FE203B">
      <w:pPr>
        <w:spacing w:after="0"/>
        <w:ind w:firstLine="708"/>
        <w:rPr>
          <w:rFonts w:ascii="GHEA Grapalat" w:hAnsi="GHEA Grapalat"/>
          <w:b/>
          <w:sz w:val="20"/>
        </w:rPr>
      </w:pPr>
      <w:r w:rsidRPr="0052386E">
        <w:rPr>
          <w:rFonts w:ascii="GHEA Grapalat" w:hAnsi="GHEA Grapalat"/>
          <w:lang w:val="ru-RU"/>
        </w:rPr>
        <w:t>Заказчик: Министерство юстиции Республики Армения</w:t>
      </w:r>
    </w:p>
    <w:sectPr w:rsidR="00FE203B" w:rsidRPr="00FE203B" w:rsidSect="009C5292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349" w:rsidRDefault="00F75349" w:rsidP="001B4DC7">
      <w:pPr>
        <w:spacing w:after="0" w:line="240" w:lineRule="auto"/>
      </w:pPr>
      <w:r>
        <w:separator/>
      </w:r>
    </w:p>
  </w:endnote>
  <w:endnote w:type="continuationSeparator" w:id="0">
    <w:p w:rsidR="00F75349" w:rsidRDefault="00F75349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492C88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F75349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492C88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203B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F75349" w:rsidP="005719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349" w:rsidRDefault="00F75349" w:rsidP="001B4DC7">
      <w:pPr>
        <w:spacing w:after="0" w:line="240" w:lineRule="auto"/>
      </w:pPr>
      <w:r>
        <w:separator/>
      </w:r>
    </w:p>
  </w:footnote>
  <w:footnote w:type="continuationSeparator" w:id="0">
    <w:p w:rsidR="00F75349" w:rsidRDefault="00F75349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B15"/>
    <w:rsid w:val="0000520C"/>
    <w:rsid w:val="00013BFB"/>
    <w:rsid w:val="00031EE2"/>
    <w:rsid w:val="0004544F"/>
    <w:rsid w:val="00054F96"/>
    <w:rsid w:val="0007503F"/>
    <w:rsid w:val="00075D62"/>
    <w:rsid w:val="00082F2E"/>
    <w:rsid w:val="000A2B40"/>
    <w:rsid w:val="000C29F9"/>
    <w:rsid w:val="000D3D7D"/>
    <w:rsid w:val="001100FF"/>
    <w:rsid w:val="00114BCA"/>
    <w:rsid w:val="00122CAD"/>
    <w:rsid w:val="00161FE1"/>
    <w:rsid w:val="00162E49"/>
    <w:rsid w:val="0017234D"/>
    <w:rsid w:val="00177760"/>
    <w:rsid w:val="00191026"/>
    <w:rsid w:val="001B4DC7"/>
    <w:rsid w:val="001C715E"/>
    <w:rsid w:val="001F2631"/>
    <w:rsid w:val="001F7C2B"/>
    <w:rsid w:val="00202E59"/>
    <w:rsid w:val="002076AA"/>
    <w:rsid w:val="002771B3"/>
    <w:rsid w:val="00287FED"/>
    <w:rsid w:val="00296F40"/>
    <w:rsid w:val="002B7AC1"/>
    <w:rsid w:val="002D0DD3"/>
    <w:rsid w:val="003103E9"/>
    <w:rsid w:val="00356B4E"/>
    <w:rsid w:val="00364883"/>
    <w:rsid w:val="00391C96"/>
    <w:rsid w:val="003D10A8"/>
    <w:rsid w:val="003E731A"/>
    <w:rsid w:val="003F5026"/>
    <w:rsid w:val="004144EE"/>
    <w:rsid w:val="0041528B"/>
    <w:rsid w:val="00415C52"/>
    <w:rsid w:val="00441633"/>
    <w:rsid w:val="004442AD"/>
    <w:rsid w:val="00452477"/>
    <w:rsid w:val="00473274"/>
    <w:rsid w:val="00477AA2"/>
    <w:rsid w:val="0048509E"/>
    <w:rsid w:val="00492C88"/>
    <w:rsid w:val="004B7278"/>
    <w:rsid w:val="004C1970"/>
    <w:rsid w:val="004D330C"/>
    <w:rsid w:val="004E64C7"/>
    <w:rsid w:val="0052043C"/>
    <w:rsid w:val="005326EE"/>
    <w:rsid w:val="00551454"/>
    <w:rsid w:val="0059316F"/>
    <w:rsid w:val="005A6C1D"/>
    <w:rsid w:val="005E6825"/>
    <w:rsid w:val="006222D2"/>
    <w:rsid w:val="00623491"/>
    <w:rsid w:val="006438C9"/>
    <w:rsid w:val="0067000D"/>
    <w:rsid w:val="00681DA8"/>
    <w:rsid w:val="006F7DB2"/>
    <w:rsid w:val="00733B92"/>
    <w:rsid w:val="007562BA"/>
    <w:rsid w:val="00756ED8"/>
    <w:rsid w:val="007749DF"/>
    <w:rsid w:val="007B6342"/>
    <w:rsid w:val="007D11EE"/>
    <w:rsid w:val="007F1A75"/>
    <w:rsid w:val="007F2370"/>
    <w:rsid w:val="00805AAD"/>
    <w:rsid w:val="008148C7"/>
    <w:rsid w:val="00860838"/>
    <w:rsid w:val="00866CEA"/>
    <w:rsid w:val="008678E2"/>
    <w:rsid w:val="0087620A"/>
    <w:rsid w:val="008C60C9"/>
    <w:rsid w:val="008E7A4B"/>
    <w:rsid w:val="009076F8"/>
    <w:rsid w:val="009103D0"/>
    <w:rsid w:val="00923E1A"/>
    <w:rsid w:val="0092764C"/>
    <w:rsid w:val="00937361"/>
    <w:rsid w:val="00947A92"/>
    <w:rsid w:val="00981282"/>
    <w:rsid w:val="00992DD8"/>
    <w:rsid w:val="00997F61"/>
    <w:rsid w:val="009A2BD6"/>
    <w:rsid w:val="009B0C5B"/>
    <w:rsid w:val="009C145F"/>
    <w:rsid w:val="009C5292"/>
    <w:rsid w:val="009E3139"/>
    <w:rsid w:val="009F39BB"/>
    <w:rsid w:val="00A04832"/>
    <w:rsid w:val="00A05622"/>
    <w:rsid w:val="00A06B36"/>
    <w:rsid w:val="00A1487B"/>
    <w:rsid w:val="00A2124F"/>
    <w:rsid w:val="00A7011D"/>
    <w:rsid w:val="00A9018C"/>
    <w:rsid w:val="00AA1BE9"/>
    <w:rsid w:val="00AA6C98"/>
    <w:rsid w:val="00AB68EC"/>
    <w:rsid w:val="00AC257D"/>
    <w:rsid w:val="00B26CA6"/>
    <w:rsid w:val="00B30CC3"/>
    <w:rsid w:val="00B43D8C"/>
    <w:rsid w:val="00B47B15"/>
    <w:rsid w:val="00BA148E"/>
    <w:rsid w:val="00BB10C1"/>
    <w:rsid w:val="00BF4031"/>
    <w:rsid w:val="00C27AC9"/>
    <w:rsid w:val="00C713EA"/>
    <w:rsid w:val="00C87760"/>
    <w:rsid w:val="00CE0B21"/>
    <w:rsid w:val="00CE3E84"/>
    <w:rsid w:val="00CE7B96"/>
    <w:rsid w:val="00D274CD"/>
    <w:rsid w:val="00D46A47"/>
    <w:rsid w:val="00D54121"/>
    <w:rsid w:val="00D54934"/>
    <w:rsid w:val="00DB29FC"/>
    <w:rsid w:val="00DB6347"/>
    <w:rsid w:val="00DB6AF5"/>
    <w:rsid w:val="00DE5182"/>
    <w:rsid w:val="00DE631F"/>
    <w:rsid w:val="00DE6A1C"/>
    <w:rsid w:val="00DE79DC"/>
    <w:rsid w:val="00DF5BFE"/>
    <w:rsid w:val="00E002C9"/>
    <w:rsid w:val="00E91D8D"/>
    <w:rsid w:val="00EB6F1C"/>
    <w:rsid w:val="00EC167D"/>
    <w:rsid w:val="00EE2A1B"/>
    <w:rsid w:val="00EE435A"/>
    <w:rsid w:val="00F461DC"/>
    <w:rsid w:val="00F503E7"/>
    <w:rsid w:val="00F72763"/>
    <w:rsid w:val="00F75349"/>
    <w:rsid w:val="00FA3821"/>
    <w:rsid w:val="00FD6F59"/>
    <w:rsid w:val="00FE203B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character" w:styleId="Hyperlink">
    <w:name w:val="Hyperlink"/>
    <w:basedOn w:val="DefaultParagraphFont"/>
    <w:uiPriority w:val="99"/>
    <w:unhideWhenUsed/>
    <w:rsid w:val="00A06B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rtur.avetisyan@moj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ur.avetisyan@moj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F-Mangyan</cp:lastModifiedBy>
  <cp:revision>50</cp:revision>
  <cp:lastPrinted>2021-04-08T07:10:00Z</cp:lastPrinted>
  <dcterms:created xsi:type="dcterms:W3CDTF">2019-08-15T07:33:00Z</dcterms:created>
  <dcterms:modified xsi:type="dcterms:W3CDTF">2021-11-01T13:32:00Z</dcterms:modified>
</cp:coreProperties>
</file>