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005C081C">
        <w:rPr>
          <w:rFonts w:ascii="GHEA Grapalat" w:hAnsi="GHEA Grapalat"/>
          <w:i w:val="0"/>
          <w:lang w:val="af-ZA"/>
        </w:rPr>
        <w:t>թվականի</w:t>
      </w:r>
      <w:r w:rsidR="005C081C">
        <w:rPr>
          <w:rFonts w:ascii="GHEA Grapalat" w:hAnsi="GHEA Grapalat"/>
          <w:i w:val="0"/>
          <w:lang w:val="hy-AM"/>
        </w:rPr>
        <w:t xml:space="preserve"> աեպտեմբերի 02</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5C081C">
        <w:rPr>
          <w:rFonts w:ascii="GHEA Grapalat" w:hAnsi="GHEA Grapalat"/>
          <w:b/>
          <w:i w:val="0"/>
          <w:color w:val="000000"/>
          <w:lang w:val="hy-AM"/>
        </w:rPr>
        <w:t>ԳՀԾՁԲ-ՀՎԿԱԿ-2024-48</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5C081C">
        <w:rPr>
          <w:rFonts w:ascii="GHEA Grapalat" w:hAnsi="GHEA Grapalat"/>
          <w:b/>
          <w:i w:val="0"/>
          <w:lang w:val="hy-AM"/>
        </w:rPr>
        <w:t>գ</w:t>
      </w:r>
      <w:r w:rsidR="005C081C" w:rsidRPr="005C081C">
        <w:rPr>
          <w:rFonts w:ascii="GHEA Grapalat" w:hAnsi="GHEA Grapalat"/>
          <w:b/>
          <w:i w:val="0"/>
          <w:lang w:val="hy-AM"/>
        </w:rPr>
        <w:t>ազաբալոնային համակարգի տեխսպասարկ</w:t>
      </w:r>
      <w:r w:rsidR="006122C0">
        <w:rPr>
          <w:rFonts w:ascii="GHEA Grapalat" w:hAnsi="GHEA Grapalat"/>
          <w:b/>
          <w:i w:val="0"/>
          <w:lang w:val="hy-AM"/>
        </w:rPr>
        <w:t>ման</w:t>
      </w:r>
      <w:r w:rsidR="00C4288F">
        <w:rPr>
          <w:rFonts w:ascii="GHEA Grapalat" w:hAnsi="GHEA Grapalat"/>
          <w:b/>
          <w:i w:val="0"/>
          <w:lang w:val="af-ZA"/>
        </w:rPr>
        <w:t xml:space="preserve"> ծառայությունների</w:t>
      </w:r>
      <w:r w:rsidR="00C4288F"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6122C0">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6122C0">
        <w:rPr>
          <w:rFonts w:ascii="GHEA Grapalat" w:hAnsi="GHEA Grapalat"/>
          <w:b/>
          <w:i w:val="0"/>
          <w:lang w:val="hy-AM"/>
        </w:rPr>
        <w:t>սեպտեմբերի 09</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5C081C">
        <w:rPr>
          <w:rFonts w:ascii="GHEA Grapalat" w:hAnsi="GHEA Grapalat"/>
          <w:b/>
          <w:color w:val="000000"/>
          <w:sz w:val="20"/>
          <w:szCs w:val="20"/>
          <w:lang w:val="hy-AM"/>
        </w:rPr>
        <w:t>ԳՀԾՁԲ-ՀՎԿԱԿ-2024-48</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6122C0">
        <w:rPr>
          <w:rFonts w:ascii="GHEA Grapalat" w:hAnsi="GHEA Grapalat" w:cs="Times Armenian"/>
          <w:color w:val="000000"/>
          <w:sz w:val="20"/>
          <w:szCs w:val="20"/>
          <w:lang w:val="hy-AM"/>
        </w:rPr>
        <w:t>սեպտեմբերի 02</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6122C0" w:rsidRPr="006122C0">
        <w:rPr>
          <w:rFonts w:ascii="GHEA Grapalat" w:hAnsi="GHEA Grapalat"/>
          <w:b/>
          <w:lang w:val="hy-AM"/>
        </w:rPr>
        <w:t>ԳԱԶԱԲԱԼՈՆԱՅԻՆ ՀԱՄԱԿԱՐԳԻ ՏԵԽՍՊԱՍԱՐԿՄԱՆ</w:t>
      </w:r>
      <w:r w:rsidR="006122C0">
        <w:rPr>
          <w:rFonts w:ascii="GHEA Grapalat" w:hAnsi="GHEA Grapalat"/>
          <w:b/>
          <w:lang w:val="af-ZA"/>
        </w:rPr>
        <w:t xml:space="preserve"> </w:t>
      </w:r>
      <w:r>
        <w:rPr>
          <w:rFonts w:ascii="GHEA Grapalat" w:hAnsi="GHEA Grapalat"/>
          <w:b/>
          <w:lang w:val="af-ZA"/>
        </w:rPr>
        <w:t>ԾԱՌԱՅՈՒԹՅՈՒՆՆԵՐԻ</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8F15A1" w:rsidRPr="008F15A1" w:rsidRDefault="008F15A1"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6729DF" w:rsidRDefault="006729DF" w:rsidP="00326F34">
      <w:pPr>
        <w:ind w:firstLine="567"/>
        <w:contextualSpacing/>
        <w:jc w:val="center"/>
        <w:rPr>
          <w:rFonts w:ascii="GHEA Grapalat" w:hAnsi="GHEA Grapalat" w:cs="Sylfaen"/>
          <w:b/>
          <w:sz w:val="20"/>
          <w:szCs w:val="20"/>
          <w:lang w:val="hy-AM"/>
        </w:rPr>
      </w:pPr>
    </w:p>
    <w:p w:rsidR="006122C0" w:rsidRDefault="006122C0" w:rsidP="00326F34">
      <w:pPr>
        <w:ind w:firstLine="567"/>
        <w:contextualSpacing/>
        <w:jc w:val="center"/>
        <w:rPr>
          <w:rFonts w:ascii="GHEA Grapalat" w:hAnsi="GHEA Grapalat" w:cs="Sylfaen"/>
          <w:b/>
          <w:sz w:val="20"/>
          <w:szCs w:val="20"/>
          <w:lang w:val="hy-AM"/>
        </w:rPr>
      </w:pPr>
    </w:p>
    <w:p w:rsidR="006122C0" w:rsidRDefault="006122C0" w:rsidP="00326F34">
      <w:pPr>
        <w:ind w:firstLine="567"/>
        <w:contextualSpacing/>
        <w:jc w:val="center"/>
        <w:rPr>
          <w:rFonts w:ascii="GHEA Grapalat" w:hAnsi="GHEA Grapalat" w:cs="Sylfaen"/>
          <w:b/>
          <w:sz w:val="20"/>
          <w:szCs w:val="20"/>
          <w:lang w:val="hy-AM"/>
        </w:rPr>
      </w:pPr>
    </w:p>
    <w:p w:rsidR="001636D1" w:rsidRPr="005C081C"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924DB">
        <w:rPr>
          <w:rFonts w:ascii="GHEA Grapalat" w:hAnsi="GHEA Grapalat" w:cs="Sylfaen"/>
          <w:b/>
          <w:color w:val="000000"/>
          <w:sz w:val="20"/>
          <w:szCs w:val="20"/>
          <w:lang w:val="hy-AM"/>
        </w:rPr>
        <w:t>ԿԱՐԻՔՆԵՐԻ</w:t>
      </w:r>
      <w:r w:rsidRPr="002924DB">
        <w:rPr>
          <w:rFonts w:ascii="GHEA Grapalat" w:hAnsi="GHEA Grapalat" w:cs="Times Armenian"/>
          <w:b/>
          <w:color w:val="000000"/>
          <w:sz w:val="20"/>
          <w:szCs w:val="20"/>
          <w:lang w:val="af-ZA"/>
        </w:rPr>
        <w:t xml:space="preserve"> </w:t>
      </w:r>
      <w:r w:rsidRPr="002924DB">
        <w:rPr>
          <w:rFonts w:ascii="GHEA Grapalat" w:hAnsi="GHEA Grapalat" w:cs="Sylfaen"/>
          <w:b/>
          <w:color w:val="000000"/>
          <w:sz w:val="20"/>
          <w:szCs w:val="20"/>
          <w:lang w:val="hy-AM"/>
        </w:rPr>
        <w:t>ՀԱՄԱՐ</w:t>
      </w:r>
      <w:r w:rsidRPr="002924DB">
        <w:rPr>
          <w:rFonts w:ascii="GHEA Grapalat" w:hAnsi="GHEA Grapalat" w:cs="Times Armenian"/>
          <w:b/>
          <w:color w:val="000000"/>
          <w:sz w:val="20"/>
          <w:szCs w:val="20"/>
          <w:lang w:val="af-ZA"/>
        </w:rPr>
        <w:t xml:space="preserve">` </w:t>
      </w:r>
      <w:r w:rsidR="00B65874" w:rsidRPr="00B65874">
        <w:rPr>
          <w:rFonts w:ascii="GHEA Grapalat" w:hAnsi="GHEA Grapalat"/>
          <w:b/>
          <w:sz w:val="20"/>
          <w:szCs w:val="20"/>
          <w:lang w:val="hy-AM"/>
        </w:rPr>
        <w:t>ԳԱԶԱԲԱԼՈՆԱՅԻՆ ՀԱՄԱԿԱՐԳԻ ՏԵԽՍՊԱՍԱՐԿՄԱՆ</w:t>
      </w:r>
      <w:r w:rsidR="00B65874" w:rsidRPr="002924DB">
        <w:rPr>
          <w:rFonts w:ascii="GHEA Grapalat" w:hAnsi="GHEA Grapalat"/>
          <w:b/>
          <w:sz w:val="20"/>
          <w:szCs w:val="20"/>
          <w:lang w:val="af-ZA"/>
        </w:rPr>
        <w:t xml:space="preserve"> </w:t>
      </w:r>
      <w:r w:rsidRPr="002924DB">
        <w:rPr>
          <w:rFonts w:ascii="GHEA Grapalat" w:hAnsi="GHEA Grapalat"/>
          <w:b/>
          <w:sz w:val="20"/>
          <w:szCs w:val="20"/>
          <w:lang w:val="af-ZA"/>
        </w:rPr>
        <w:t>ԾԱՌԱՅՈՒԹՅՈՒՆՆԵՐԻ</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00B8734B" w:rsidRPr="00772E24">
        <w:rPr>
          <w:rFonts w:ascii="GHEA Grapalat" w:hAnsi="GHEA Grapalat" w:cs="Sylfaen"/>
          <w:b/>
          <w:color w:val="000000"/>
          <w:sz w:val="20"/>
          <w:szCs w:val="20"/>
          <w:lang w:val="hy-AM"/>
        </w:rPr>
        <w:t>ՆՊԱՏԱԿՈՎ</w:t>
      </w:r>
      <w:r w:rsidR="00B8734B" w:rsidRPr="00772E24">
        <w:rPr>
          <w:rFonts w:ascii="GHEA Grapalat" w:hAnsi="GHEA Grapalat" w:cs="Sylfaen"/>
          <w:b/>
          <w:color w:val="000000"/>
          <w:sz w:val="20"/>
          <w:szCs w:val="20"/>
          <w:lang w:val="af-ZA"/>
        </w:rPr>
        <w:t xml:space="preserve"> </w:t>
      </w:r>
      <w:r w:rsidR="00B8734B" w:rsidRPr="00772E24">
        <w:rPr>
          <w:rFonts w:ascii="GHEA Grapalat" w:hAnsi="GHEA Grapalat" w:cs="Sylfaen"/>
          <w:b/>
          <w:color w:val="000000"/>
          <w:sz w:val="20"/>
          <w:szCs w:val="20"/>
          <w:lang w:val="hy-AM"/>
        </w:rPr>
        <w:t>ՀԱՅՏԱՐԱՐՎԱԾ</w:t>
      </w:r>
      <w:r w:rsidR="00B8734B" w:rsidRPr="00772E24">
        <w:rPr>
          <w:rFonts w:ascii="GHEA Grapalat" w:hAnsi="GHEA Grapalat" w:cs="Times Armenian"/>
          <w:b/>
          <w:color w:val="000000"/>
          <w:sz w:val="20"/>
          <w:szCs w:val="20"/>
          <w:lang w:val="af-ZA"/>
        </w:rPr>
        <w:t xml:space="preserve"> </w:t>
      </w:r>
      <w:r w:rsidR="00B8734B" w:rsidRPr="00772E24">
        <w:rPr>
          <w:rFonts w:ascii="GHEA Grapalat" w:hAnsi="GHEA Grapalat" w:cs="Sylfaen"/>
          <w:b/>
          <w:color w:val="000000"/>
          <w:sz w:val="20"/>
          <w:szCs w:val="20"/>
          <w:lang w:val="hy-AM"/>
        </w:rPr>
        <w:t>ԳՆԱՆՇՄԱՆ</w:t>
      </w:r>
      <w:r w:rsidR="00B8734B" w:rsidRPr="00772E24">
        <w:rPr>
          <w:rFonts w:ascii="GHEA Grapalat" w:hAnsi="GHEA Grapalat" w:cs="Sylfaen"/>
          <w:b/>
          <w:color w:val="000000"/>
          <w:sz w:val="20"/>
          <w:szCs w:val="20"/>
          <w:lang w:val="af-ZA"/>
        </w:rPr>
        <w:t xml:space="preserve"> </w:t>
      </w:r>
      <w:r w:rsidR="00B8734B" w:rsidRPr="00772E24">
        <w:rPr>
          <w:rFonts w:ascii="GHEA Grapalat" w:hAnsi="GHEA Grapalat" w:cs="Sylfaen"/>
          <w:b/>
          <w:color w:val="000000"/>
          <w:sz w:val="20"/>
          <w:szCs w:val="20"/>
          <w:lang w:val="hy-AM"/>
        </w:rPr>
        <w:t>ՀԱՐՑՄԱՆ</w:t>
      </w:r>
      <w:r w:rsidR="00B8734B" w:rsidRPr="00772E24">
        <w:rPr>
          <w:rFonts w:ascii="GHEA Grapalat" w:hAnsi="GHEA Grapalat" w:cs="Sylfaen"/>
          <w:b/>
          <w:color w:val="000000"/>
          <w:lang w:val="hy-AM"/>
        </w:rPr>
        <w:t xml:space="preserve"> </w:t>
      </w:r>
      <w:r w:rsidR="00B8734B"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5C081C">
        <w:rPr>
          <w:rFonts w:ascii="GHEA Grapalat" w:hAnsi="GHEA Grapalat"/>
          <w:b/>
          <w:color w:val="000000"/>
          <w:sz w:val="20"/>
          <w:szCs w:val="20"/>
          <w:lang w:val="hy-AM"/>
        </w:rPr>
        <w:t>ԳՀԾՁԲ-ՀՎԿԱԿ-2024-48</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B65874">
        <w:rPr>
          <w:rFonts w:ascii="GHEA Grapalat" w:hAnsi="GHEA Grapalat"/>
          <w:b/>
          <w:i w:val="0"/>
          <w:lang w:val="hy-AM"/>
        </w:rPr>
        <w:t>գ</w:t>
      </w:r>
      <w:r w:rsidR="00B65874" w:rsidRPr="005C081C">
        <w:rPr>
          <w:rFonts w:ascii="GHEA Grapalat" w:hAnsi="GHEA Grapalat"/>
          <w:b/>
          <w:i w:val="0"/>
          <w:lang w:val="hy-AM"/>
        </w:rPr>
        <w:t>ազաբալոնային համակարգի տեխսպասարկ</w:t>
      </w:r>
      <w:r w:rsidR="00B65874">
        <w:rPr>
          <w:rFonts w:ascii="GHEA Grapalat" w:hAnsi="GHEA Grapalat"/>
          <w:b/>
          <w:i w:val="0"/>
          <w:lang w:val="hy-AM"/>
        </w:rPr>
        <w:t>ման</w:t>
      </w:r>
      <w:r w:rsidR="00850793" w:rsidRPr="00850793">
        <w:rPr>
          <w:rFonts w:ascii="GHEA Grapalat" w:hAnsi="GHEA Grapalat"/>
          <w:i w:val="0"/>
          <w:lang w:val="af-ZA"/>
        </w:rPr>
        <w:t xml:space="preserve"> </w:t>
      </w:r>
      <w:r w:rsidR="00850793" w:rsidRPr="00850793">
        <w:rPr>
          <w:rFonts w:ascii="GHEA Grapalat" w:hAnsi="GHEA Grapalat"/>
          <w:b/>
          <w:i w:val="0"/>
          <w:lang w:val="hy-AM"/>
        </w:rPr>
        <w:t>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65874">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65874">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2E41F4" w:rsidRPr="00E829C3" w:rsidTr="002E41F4">
        <w:tc>
          <w:tcPr>
            <w:tcW w:w="1701" w:type="dxa"/>
            <w:vAlign w:val="center"/>
          </w:tcPr>
          <w:p w:rsidR="002E41F4" w:rsidRPr="00C6373B" w:rsidRDefault="00C6373B" w:rsidP="00EF3662">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vAlign w:val="center"/>
          </w:tcPr>
          <w:p w:rsidR="002E41F4" w:rsidRPr="00B03B67" w:rsidRDefault="00B03B67" w:rsidP="00B65874">
            <w:pPr>
              <w:jc w:val="center"/>
              <w:rPr>
                <w:rFonts w:ascii="GHEA Grapalat" w:hAnsi="GHEA Grapalat"/>
                <w:color w:val="000000"/>
                <w:sz w:val="16"/>
                <w:szCs w:val="16"/>
                <w:lang w:val="hy-AM"/>
              </w:rPr>
            </w:pPr>
            <w:r>
              <w:rPr>
                <w:rFonts w:ascii="GHEA Grapalat" w:hAnsi="GHEA Grapalat"/>
                <w:color w:val="000000"/>
                <w:sz w:val="16"/>
                <w:szCs w:val="16"/>
                <w:lang w:val="hy-AM"/>
              </w:rPr>
              <w:t>8</w:t>
            </w:r>
            <w:r w:rsidR="00B65874">
              <w:rPr>
                <w:rFonts w:ascii="GHEA Grapalat" w:hAnsi="GHEA Grapalat"/>
                <w:color w:val="000000"/>
                <w:sz w:val="16"/>
                <w:szCs w:val="16"/>
                <w:lang w:val="hy-AM"/>
              </w:rPr>
              <w:t>2</w:t>
            </w:r>
            <w:r>
              <w:rPr>
                <w:rFonts w:ascii="GHEA Grapalat" w:hAnsi="GHEA Grapalat"/>
                <w:color w:val="000000"/>
                <w:sz w:val="16"/>
                <w:szCs w:val="16"/>
                <w:lang w:val="hy-AM"/>
              </w:rPr>
              <w:t>,000</w:t>
            </w:r>
          </w:p>
        </w:tc>
        <w:tc>
          <w:tcPr>
            <w:tcW w:w="7231" w:type="dxa"/>
            <w:vAlign w:val="center"/>
          </w:tcPr>
          <w:p w:rsidR="002E41F4" w:rsidRPr="002364A4" w:rsidRDefault="00B65874" w:rsidP="009F2E96">
            <w:pPr>
              <w:rPr>
                <w:rFonts w:ascii="GHEA Grapalat" w:hAnsi="GHEA Grapalat"/>
                <w:sz w:val="16"/>
                <w:szCs w:val="16"/>
                <w:lang w:val="hy-AM"/>
              </w:rPr>
            </w:pPr>
            <w:r w:rsidRPr="00B65874">
              <w:rPr>
                <w:rFonts w:ascii="GHEA Grapalat" w:hAnsi="GHEA Grapalat"/>
                <w:sz w:val="16"/>
                <w:szCs w:val="16"/>
                <w:lang w:val="hy-AM"/>
              </w:rPr>
              <w:t>Գազաբալոնային համակարգի տեխսպասարկում</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1D10B1">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es-ES" w:eastAsia="en-US"/>
        </w:rPr>
        <w:t xml:space="preserve">բ) </w:t>
      </w:r>
      <w:r w:rsidRPr="002924DB">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2924DB">
        <w:rPr>
          <w:rFonts w:ascii="GHEA Grapalat" w:hAnsi="GHEA Grapalat" w:cs="Sylfaen"/>
          <w:sz w:val="20"/>
          <w:szCs w:val="24"/>
          <w:lang w:eastAsia="en-US"/>
        </w:rPr>
        <w:t>սույն</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val="hy-AM" w:eastAsia="en-US"/>
        </w:rPr>
        <w:t>հրավերով սահմանվ</w:t>
      </w:r>
      <w:r w:rsidRPr="002924DB">
        <w:rPr>
          <w:rFonts w:ascii="GHEA Grapalat" w:hAnsi="GHEA Grapalat" w:cs="Sylfaen"/>
          <w:sz w:val="20"/>
          <w:szCs w:val="24"/>
          <w:lang w:eastAsia="en-US"/>
        </w:rPr>
        <w:t>ած</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2924DB">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ՄԳ-ն ընտրված մասնակցի առաջարկած հանրագումարային գինն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Ծ-ն մատուցված ծառայության առավելագույն միավորի գինն է</w:t>
      </w:r>
    </w:p>
    <w:p w:rsidR="00337F3C" w:rsidRPr="002924DB" w:rsidRDefault="00337F3C" w:rsidP="00337F3C">
      <w:pPr>
        <w:pStyle w:val="norm"/>
        <w:spacing w:line="240" w:lineRule="auto"/>
        <w:rPr>
          <w:rFonts w:ascii="GHEA Grapalat" w:hAnsi="GHEA Grapalat" w:cs="Sylfaen"/>
          <w:sz w:val="20"/>
          <w:szCs w:val="24"/>
          <w:vertAlign w:val="superscript"/>
          <w:lang w:val="hy-AM" w:eastAsia="en-US"/>
        </w:rPr>
      </w:pPr>
      <w:r w:rsidRPr="002924DB">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1D10B1">
        <w:rPr>
          <w:rFonts w:ascii="GHEA Grapalat" w:hAnsi="GHEA Grapalat" w:cs="Sylfaen"/>
          <w:b/>
          <w:szCs w:val="24"/>
          <w:lang w:val="hy-AM"/>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5C081C">
        <w:rPr>
          <w:rFonts w:ascii="GHEA Grapalat" w:hAnsi="GHEA Grapalat"/>
          <w:b/>
          <w:color w:val="000000"/>
          <w:lang w:val="hy-AM"/>
        </w:rPr>
        <w:t>ԳՀԾՁԲ-ՀՎԿԱԿ-2024-48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5C081C">
        <w:rPr>
          <w:rFonts w:ascii="GHEA Grapalat" w:hAnsi="GHEA Grapalat"/>
          <w:color w:val="000000"/>
          <w:sz w:val="20"/>
          <w:szCs w:val="20"/>
          <w:lang w:val="hy-AM"/>
        </w:rPr>
        <w:t>ԳՀԾՁԲ-ՀՎԿԱԿ-2024-48</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5C081C">
        <w:rPr>
          <w:rFonts w:ascii="GHEA Grapalat" w:hAnsi="GHEA Grapalat"/>
          <w:color w:val="000000"/>
          <w:sz w:val="20"/>
          <w:szCs w:val="20"/>
          <w:lang w:val="hy-AM"/>
        </w:rPr>
        <w:t>ԳՀԾՁԲ-ՀՎԿԱԿ-2024-48</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5C081C">
        <w:rPr>
          <w:rFonts w:ascii="GHEA Grapalat" w:hAnsi="GHEA Grapalat"/>
          <w:color w:val="000000"/>
          <w:sz w:val="20"/>
          <w:szCs w:val="20"/>
          <w:lang w:val="hy-AM"/>
        </w:rPr>
        <w:t>ԳՀԾՁԲ-ՀՎԿԱԿ-2024-48</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5C081C">
        <w:rPr>
          <w:rFonts w:ascii="GHEA Grapalat" w:hAnsi="GHEA Grapalat"/>
          <w:b/>
          <w:color w:val="000000"/>
          <w:lang w:val="hy-AM"/>
        </w:rPr>
        <w:t>ԳՀԾՁԲ-ՀՎԿԱԿ-2024-48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5C081C">
        <w:rPr>
          <w:rFonts w:ascii="GHEA Grapalat" w:hAnsi="GHEA Grapalat"/>
          <w:b/>
          <w:color w:val="000000"/>
          <w:lang w:val="hy-AM"/>
        </w:rPr>
        <w:t>ԳՀԾՁԲ-ՀՎԿԱԿ-2024-48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5C081C">
        <w:rPr>
          <w:rFonts w:ascii="GHEA Grapalat" w:hAnsi="GHEA Grapalat"/>
          <w:b/>
          <w:color w:val="000000"/>
          <w:sz w:val="20"/>
          <w:szCs w:val="20"/>
          <w:lang w:val="hy-AM"/>
        </w:rPr>
        <w:t>ԳՀԾՁԲ-ՀՎԿԱԿ-2024-48</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D549E4"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D549E4"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D549E4"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D549E4"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5C081C">
        <w:rPr>
          <w:rFonts w:ascii="GHEA Grapalat" w:hAnsi="GHEA Grapalat"/>
          <w:b/>
          <w:color w:val="000000"/>
          <w:lang w:val="hy-AM"/>
        </w:rPr>
        <w:t>ԳՀԾՁԲ-ՀՎԿԱԿ-2024-48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5C081C">
        <w:rPr>
          <w:rFonts w:ascii="GHEA Grapalat" w:hAnsi="GHEA Grapalat"/>
          <w:b/>
          <w:color w:val="000000"/>
          <w:sz w:val="20"/>
          <w:szCs w:val="20"/>
          <w:lang w:val="hy-AM"/>
        </w:rPr>
        <w:t>ԳՀԾՁԲ-ՀՎԿԱԿ-2024-48</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D549E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D549E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D549E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D549E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D549E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5C081C">
        <w:rPr>
          <w:rFonts w:ascii="GHEA Grapalat" w:hAnsi="GHEA Grapalat"/>
          <w:b/>
          <w:color w:val="000000"/>
          <w:lang w:val="hy-AM"/>
        </w:rPr>
        <w:t>ԳՀԾՁԲ-ՀՎԿԱԿ-2024-48</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5C081C">
        <w:rPr>
          <w:rFonts w:ascii="GHEA Grapalat" w:hAnsi="GHEA Grapalat"/>
          <w:b/>
          <w:color w:val="000000"/>
          <w:sz w:val="20"/>
          <w:szCs w:val="20"/>
          <w:lang w:val="hy-AM"/>
        </w:rPr>
        <w:t>ԳՀԾՁԲ-ՀՎԿԱԿ-2024-48</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D549E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D549E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D549E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D549E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D549E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5C081C">
        <w:rPr>
          <w:rFonts w:ascii="GHEA Grapalat" w:hAnsi="GHEA Grapalat"/>
          <w:b/>
          <w:color w:val="000000"/>
          <w:lang w:val="hy-AM"/>
        </w:rPr>
        <w:t>ԳՀԾՁԲ-ՀՎԿԱԿ-2024-48</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D549E4">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w:t>
      </w:r>
      <w:r w:rsidRPr="00D549E4">
        <w:rPr>
          <w:rFonts w:ascii="GHEA Grapalat" w:hAnsi="GHEA Grapalat" w:cs="Sylfaen"/>
          <w:sz w:val="20"/>
          <w:szCs w:val="20"/>
          <w:lang w:val="hy-AM"/>
        </w:rPr>
        <w:t xml:space="preserve">հանձնարարում է, իսկ Կատարողը ստանձնում է </w:t>
      </w:r>
      <w:r w:rsidR="00D549E4" w:rsidRPr="00D549E4">
        <w:rPr>
          <w:rFonts w:ascii="GHEA Grapalat" w:hAnsi="GHEA Grapalat"/>
          <w:b/>
          <w:sz w:val="20"/>
          <w:szCs w:val="20"/>
          <w:lang w:val="hy-AM"/>
        </w:rPr>
        <w:t>գազաբալոնային համակարգի տեխսպասարկման</w:t>
      </w:r>
      <w:r w:rsidR="00D549E4" w:rsidRPr="00D549E4">
        <w:rPr>
          <w:rFonts w:ascii="GHEA Grapalat" w:hAnsi="GHEA Grapalat"/>
          <w:sz w:val="20"/>
          <w:szCs w:val="20"/>
          <w:lang w:val="af-ZA"/>
        </w:rPr>
        <w:t xml:space="preserve"> </w:t>
      </w:r>
      <w:r w:rsidR="00D549E4" w:rsidRPr="00D549E4">
        <w:rPr>
          <w:rFonts w:ascii="GHEA Grapalat" w:hAnsi="GHEA Grapalat"/>
          <w:b/>
          <w:sz w:val="20"/>
          <w:szCs w:val="20"/>
          <w:lang w:val="hy-AM"/>
        </w:rPr>
        <w:t>ծառայությունների</w:t>
      </w:r>
      <w:r w:rsidR="00D549E4" w:rsidRPr="00D549E4">
        <w:rPr>
          <w:rFonts w:ascii="GHEA Grapalat" w:hAnsi="GHEA Grapalat" w:cs="Sylfaen"/>
          <w:b/>
          <w:color w:val="000000"/>
          <w:sz w:val="20"/>
          <w:szCs w:val="20"/>
          <w:lang w:val="af-ZA"/>
        </w:rPr>
        <w:t xml:space="preserve"> </w:t>
      </w:r>
      <w:r w:rsidRPr="00D549E4">
        <w:rPr>
          <w:rFonts w:ascii="GHEA Grapalat" w:hAnsi="GHEA Grapalat" w:cs="Sylfaen"/>
          <w:sz w:val="20"/>
          <w:szCs w:val="20"/>
          <w:lang w:val="hy-AM"/>
        </w:rPr>
        <w:t>մատուցման պարտավորությունը (այսուհետ` ծառայություն)` համաձայն սույն պայմանագրի (այսուհետ` պայմանագիր)</w:t>
      </w:r>
      <w:r w:rsidRPr="008072DD">
        <w:rPr>
          <w:rFonts w:ascii="GHEA Grapalat" w:hAnsi="GHEA Grapalat" w:cs="Sylfaen"/>
          <w:sz w:val="20"/>
          <w:szCs w:val="20"/>
          <w:lang w:val="hy-AM"/>
        </w:rPr>
        <w:t xml:space="preserve">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D549E4" w:rsidTr="00E53C12">
        <w:trPr>
          <w:tblCellSpacing w:w="7" w:type="dxa"/>
          <w:jc w:val="center"/>
        </w:trPr>
        <w:tc>
          <w:tcPr>
            <w:tcW w:w="0" w:type="auto"/>
            <w:vAlign w:val="center"/>
          </w:tcPr>
          <w:p w:rsidR="007678FA" w:rsidRPr="00064ADD" w:rsidRDefault="00600053" w:rsidP="00E53C12">
            <w:pPr>
              <w:jc w:val="center"/>
              <w:rPr>
                <w:rFonts w:ascii="GHEA Grapalat" w:hAnsi="GHEA Grapalat"/>
                <w:iCs/>
                <w:color w:val="000000"/>
                <w:sz w:val="21"/>
                <w:szCs w:val="21"/>
                <w:lang w:val="pt-BR"/>
              </w:rPr>
            </w:pPr>
            <w:r w:rsidRPr="00600053">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2C0" w:rsidRDefault="006122C0">
      <w:r>
        <w:separator/>
      </w:r>
    </w:p>
  </w:endnote>
  <w:endnote w:type="continuationSeparator" w:id="0">
    <w:p w:rsidR="006122C0" w:rsidRDefault="006122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2C0" w:rsidRDefault="006122C0">
      <w:r>
        <w:separator/>
      </w:r>
    </w:p>
  </w:footnote>
  <w:footnote w:type="continuationSeparator" w:id="0">
    <w:p w:rsidR="006122C0" w:rsidRDefault="006122C0">
      <w:r>
        <w:continuationSeparator/>
      </w:r>
    </w:p>
  </w:footnote>
  <w:footnote w:id="1">
    <w:p w:rsidR="006122C0" w:rsidRPr="005C67B7" w:rsidRDefault="006122C0"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6122C0" w:rsidRPr="00D20E6D" w:rsidRDefault="006122C0"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6122C0" w:rsidRPr="0090663C" w:rsidRDefault="006122C0">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6122C0" w:rsidRPr="0090663C" w:rsidRDefault="006122C0"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6122C0" w:rsidRPr="00020499" w:rsidRDefault="006122C0">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6D0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0B1"/>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441"/>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5702"/>
    <w:rsid w:val="005B598A"/>
    <w:rsid w:val="005B6B3E"/>
    <w:rsid w:val="005B7350"/>
    <w:rsid w:val="005B7764"/>
    <w:rsid w:val="005C081C"/>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053"/>
    <w:rsid w:val="00600DD3"/>
    <w:rsid w:val="0060505A"/>
    <w:rsid w:val="0060526C"/>
    <w:rsid w:val="00606328"/>
    <w:rsid w:val="0060652B"/>
    <w:rsid w:val="00606ACC"/>
    <w:rsid w:val="00606B84"/>
    <w:rsid w:val="0060715C"/>
    <w:rsid w:val="00611FBB"/>
    <w:rsid w:val="006122C0"/>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C7A"/>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874"/>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C29"/>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9E4"/>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C8A0E-8D02-4507-B6B7-F4FB3CF24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58</Pages>
  <Words>14716</Words>
  <Characters>114099</Characters>
  <Application>Microsoft Office Word</Application>
  <DocSecurity>0</DocSecurity>
  <Lines>950</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128558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21</cp:revision>
  <cp:lastPrinted>2018-02-16T07:12:00Z</cp:lastPrinted>
  <dcterms:created xsi:type="dcterms:W3CDTF">2024-01-11T13:27:00Z</dcterms:created>
  <dcterms:modified xsi:type="dcterms:W3CDTF">2024-09-02T08:54:00Z</dcterms:modified>
</cp:coreProperties>
</file>