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247207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</w:rPr>
              <w:t>Протокол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246DB9" w:rsidRPr="00342ED8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ՀՀԿԳՄՍՆԳՀԾՁԲ-24/62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</w:t>
            </w:r>
            <w:bookmarkStart w:id="0" w:name="_GoBack"/>
            <w:bookmarkEnd w:id="0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г по подготовке проектов, оценке расходов (Капитальный ремонт/реконструкция домов культуры 5 общин (Талин, </w:t>
            </w:r>
            <w:proofErr w:type="spellStart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Ринд</w:t>
            </w:r>
            <w:proofErr w:type="spellEnd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Егвард</w:t>
            </w:r>
            <w:proofErr w:type="spellEnd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proofErr w:type="spellStart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Маралик</w:t>
            </w:r>
            <w:proofErr w:type="spellEnd"/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 Армавир)</w:t>
            </w:r>
          </w:p>
        </w:tc>
      </w:tr>
      <w:tr w:rsidR="00246DB9" w:rsidRPr="00342ED8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16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792DD3" w:rsidRP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.2024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Зара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 xml:space="preserve"> Асланян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Светлана Саакян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Астхик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Марабян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342ED8" w:rsidTr="00832D57">
        <w:trPr>
          <w:trHeight w:val="69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342ED8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ՀՀԿԳՄՍՆԳՀԾՁԲ-24/62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342ED8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342ED8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-24/62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792DD3">
        <w:trPr>
          <w:trHeight w:val="1863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792DD3">
              <w:trPr>
                <w:trHeight w:val="63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8D75CA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Консорциум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Гидроэк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,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Институт водных и гидротехники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им. Академика И. В. Егиазарова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ЗАО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АМАГ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НПО средств связи Е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ревана</w:t>
                  </w:r>
                  <w:proofErr w:type="spellEnd"/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ЗАО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tokmajyan.hovhannes@gmail.com</w:t>
                  </w:r>
                </w:p>
              </w:tc>
            </w:tr>
            <w:tr w:rsidR="008D75CA" w:rsidRPr="00864E39" w:rsidTr="00792DD3">
              <w:trPr>
                <w:trHeight w:val="350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8D75CA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Cs/>
                      <w:sz w:val="20"/>
                      <w:lang w:val="ru-RU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Саргис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и Марианна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A44BC7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sargismarianna@mail.ru</w:t>
                  </w:r>
                </w:p>
              </w:tc>
            </w:tr>
            <w:tr w:rsidR="008D75CA" w:rsidRPr="00864E39" w:rsidTr="00792DD3">
              <w:trPr>
                <w:trHeight w:val="350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8D75CA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ШИН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-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КОМФОРТ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A44BC7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vigenpapmisho@gmail.com</w:t>
                  </w:r>
                </w:p>
              </w:tc>
            </w:tr>
            <w:tr w:rsidR="008D75CA" w:rsidRPr="00864E39" w:rsidTr="00792DD3">
              <w:trPr>
                <w:trHeight w:val="350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8D75CA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ОН ДИЗАЙН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A44BC7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vladimir.ispiryan@gmail.com</w:t>
                  </w:r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342ED8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lastRenderedPageBreak/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792D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1462"/>
              <w:gridCol w:w="1463"/>
              <w:gridCol w:w="1462"/>
              <w:gridCol w:w="1463"/>
              <w:gridCol w:w="1462"/>
              <w:gridCol w:w="1463"/>
              <w:gridCol w:w="1462"/>
              <w:gridCol w:w="1463"/>
            </w:tblGrid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864E39" w:rsidRPr="008D75CA" w:rsidRDefault="00864E3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864E39" w:rsidRPr="008D75CA" w:rsidRDefault="00864E3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864E39" w:rsidRPr="008D75CA" w:rsidRDefault="00864E3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864E39" w:rsidRPr="008D75CA" w:rsidRDefault="00864E3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11700" w:type="dxa"/>
                  <w:gridSpan w:val="8"/>
                  <w:shd w:val="clear" w:color="auto" w:fill="auto"/>
                  <w:vAlign w:val="center"/>
                </w:tcPr>
                <w:p w:rsidR="00864E39" w:rsidRPr="008D75CA" w:rsidRDefault="00864E39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8D75CA" w:rsidRPr="008D75CA" w:rsidRDefault="008D75CA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8D75CA" w:rsidRPr="008D75CA" w:rsidRDefault="008D75CA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shd w:val="clear" w:color="auto" w:fill="auto"/>
                  <w:vAlign w:val="center"/>
                </w:tcPr>
                <w:p w:rsidR="008D75CA" w:rsidRPr="008D75CA" w:rsidRDefault="008D75CA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Консорциум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Гидроэк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  <w:vAlign w:val="center"/>
                </w:tcPr>
                <w:p w:rsidR="008D75CA" w:rsidRPr="008D75CA" w:rsidRDefault="008D75CA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Саргис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и Марианна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  <w:vAlign w:val="center"/>
                </w:tcPr>
                <w:p w:rsidR="008D75CA" w:rsidRPr="008D75CA" w:rsidRDefault="008D75CA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ШИН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-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КОМФОРТ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  <w:tc>
                <w:tcPr>
                  <w:tcW w:w="2925" w:type="dxa"/>
                  <w:gridSpan w:val="2"/>
                  <w:shd w:val="clear" w:color="auto" w:fill="auto"/>
                  <w:vAlign w:val="center"/>
                </w:tcPr>
                <w:p w:rsidR="008D75CA" w:rsidRPr="008D75CA" w:rsidRDefault="008D75CA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ОН ДИЗАЙН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792DD3" w:rsidRPr="008D75CA" w:rsidRDefault="00792DD3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792DD3" w:rsidRPr="008D75CA" w:rsidRDefault="00792DD3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1700" w:type="dxa"/>
                  <w:gridSpan w:val="8"/>
                  <w:shd w:val="clear" w:color="auto" w:fill="auto"/>
                  <w:vAlign w:val="center"/>
                </w:tcPr>
                <w:p w:rsidR="00792DD3" w:rsidRPr="008D75CA" w:rsidRDefault="00792DD3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8D75CA">
                    <w:rPr>
                      <w:rFonts w:ascii="GHEA Grapalat" w:hAnsi="GHEA Grapalat"/>
                      <w:b/>
                      <w:sz w:val="22"/>
                      <w:szCs w:val="22"/>
                    </w:rPr>
                    <w:t>16150200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11900000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11900000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11900000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14280000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15855000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15855000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15980000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15980000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8D75CA">
                    <w:rPr>
                      <w:rFonts w:ascii="GHEA Grapalat" w:hAnsi="GHEA Grapalat"/>
                      <w:b/>
                      <w:sz w:val="22"/>
                      <w:szCs w:val="22"/>
                    </w:rPr>
                    <w:t>16736400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9000000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9000000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13000000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15600000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15955000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15955000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15880000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15880000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8D75CA">
                    <w:rPr>
                      <w:rFonts w:ascii="GHEA Grapalat" w:hAnsi="GHEA Grapalat"/>
                      <w:b/>
                      <w:sz w:val="22"/>
                      <w:szCs w:val="22"/>
                    </w:rPr>
                    <w:t>8322500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6000000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6000000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6000000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7200000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7920000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7920000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6150000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6150000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8D75CA">
                    <w:rPr>
                      <w:rFonts w:ascii="GHEA Grapalat" w:hAnsi="GHEA Grapalat"/>
                      <w:b/>
                      <w:sz w:val="22"/>
                      <w:szCs w:val="22"/>
                    </w:rPr>
                    <w:t>27418100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19000000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19000000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</w:p>
              </w:tc>
            </w:tr>
            <w:tr w:rsidR="008D75CA" w:rsidRPr="008D75CA" w:rsidTr="008D75CA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</w:rPr>
                  </w:pPr>
                  <w:r w:rsidRPr="008D75CA">
                    <w:rPr>
                      <w:rFonts w:ascii="GHEA Grapalat" w:hAnsi="GHEA Grapalat"/>
                      <w:b/>
                      <w:sz w:val="22"/>
                      <w:szCs w:val="22"/>
                    </w:rPr>
                    <w:t>10636160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8000000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8000000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8000000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9600000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10555000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10555000</w:t>
                  </w:r>
                </w:p>
              </w:tc>
              <w:tc>
                <w:tcPr>
                  <w:tcW w:w="1462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7950000</w:t>
                  </w:r>
                </w:p>
              </w:tc>
              <w:tc>
                <w:tcPr>
                  <w:tcW w:w="1463" w:type="dxa"/>
                  <w:shd w:val="clear" w:color="auto" w:fill="auto"/>
                  <w:vAlign w:val="center"/>
                </w:tcPr>
                <w:p w:rsidR="008D75CA" w:rsidRPr="008D75CA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7950000</w:t>
                  </w: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1A2160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DE5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8D75CA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DE57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DE57ED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342ED8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Pr="00BD50CD" w:rsidRDefault="00C93A36" w:rsidP="00FF40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03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.09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.2024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6B2209" w:rsidRPr="00342ED8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864E39" w:rsidRDefault="008410CE" w:rsidP="0081315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8410CE" w:rsidRDefault="008410CE" w:rsidP="00832D5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.1</w:t>
                  </w:r>
                  <w:r w:rsidR="006B2209"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Консорциумом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Гидроэк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,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Институт водных и гидротехники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им. Академика И. В. Егиазарова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ЗАО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АМАГ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НПО средств связи Е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ревана</w:t>
                  </w:r>
                  <w:proofErr w:type="spellEnd"/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ЗАО</w:t>
                  </w:r>
                  <w:r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отсутствуют следующие документы,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требуемые приглашением: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6.1.1 Приложение №1: заявление на участие в процедуре,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6.1.2 Договор о совместной деятельности (консорциуме),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6.1.3 Документы, необходимые для оценки квалификационного критерия «Профессиональный опыт» по пункту 2.4 части I приглашения,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6.1.4 Документы, необходимые для оценки квалификационного критерия «Трудовые ресурсы» по пункту 2.4 Части I Приглашения.</w:t>
                  </w:r>
                </w:p>
                <w:p w:rsidR="00F62EC7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6.1.5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Обеспечение заявки по 4-ому лоту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что 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не подлежит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исправлению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</w:p>
                <w:p w:rsidR="007E31A6" w:rsidRDefault="007E31A6" w:rsidP="00832D5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5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8410CE" w:rsidRDefault="008410CE" w:rsidP="00832D5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>
                    <w:rPr>
                      <w:rFonts w:ascii="GHEA Grapalat" w:hAnsi="GHEA Grapalat" w:cs="Arial"/>
                      <w:bCs/>
                      <w:lang w:val="ru-RU"/>
                    </w:rPr>
                    <w:lastRenderedPageBreak/>
                    <w:t>6</w:t>
                  </w:r>
                  <w:r w:rsidR="007E31A6">
                    <w:rPr>
                      <w:rFonts w:ascii="GHEA Grapalat" w:hAnsi="GHEA Grapalat" w:cs="Arial"/>
                      <w:bCs/>
                      <w:lang w:val="ru-RU"/>
                    </w:rPr>
                    <w:t xml:space="preserve">.2 </w:t>
                  </w:r>
                  <w:proofErr w:type="spellStart"/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Ценевое</w:t>
                  </w:r>
                  <w:proofErr w:type="spellEnd"/>
                  <w:r>
                    <w:rPr>
                      <w:rFonts w:ascii="GHEA Grapalat" w:hAnsi="GHEA Grapalat" w:cs="Arial"/>
                      <w:bCs/>
                      <w:lang w:val="ru-RU"/>
                    </w:rPr>
                    <w:t xml:space="preserve"> предложение,</w:t>
                  </w:r>
                  <w:r>
                    <w:rPr>
                      <w:rFonts w:ascii="GHEA Grapalat" w:hAnsi="GHEA Grapalat" w:cs="Arial"/>
                      <w:bCs/>
                      <w:lang w:val="hy-AM"/>
                    </w:rPr>
                    <w:t xml:space="preserve"> представленно</w:t>
                  </w:r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е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Консорциумом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Гидроэк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,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Институт водных и гидротехники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им. Академика И. В. Егиазарова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ЗАО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АМАГ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ООО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, «</w:t>
                  </w:r>
                  <w:r w:rsidRPr="005A70FD">
                    <w:rPr>
                      <w:rFonts w:ascii="GHEA Grapalat" w:hAnsi="GHEA Grapalat" w:cs="Arial"/>
                      <w:b/>
                      <w:bCs/>
                      <w:sz w:val="20"/>
                      <w:lang w:val="af-ZA"/>
                    </w:rPr>
                    <w:t>НПО средств связи Е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ревана</w:t>
                  </w:r>
                  <w:proofErr w:type="spellEnd"/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ЗАО</w:t>
                  </w:r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не соответствуют </w:t>
                  </w:r>
                  <w:proofErr w:type="gramStart"/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>требо</w:t>
                  </w:r>
                  <w:r>
                    <w:rPr>
                      <w:rFonts w:ascii="GHEA Grapalat" w:hAnsi="GHEA Grapalat" w:cs="Arial"/>
                      <w:bCs/>
                      <w:lang w:val="hy-AM"/>
                    </w:rPr>
                    <w:t>ваниям</w:t>
                  </w:r>
                  <w:proofErr w:type="gramEnd"/>
                  <w:r>
                    <w:rPr>
                      <w:rFonts w:ascii="GHEA Grapalat" w:hAnsi="GHEA Grapalat" w:cs="Arial"/>
                      <w:bCs/>
                      <w:lang w:val="hy-AM"/>
                    </w:rPr>
                    <w:t xml:space="preserve"> изложенным в приглашении</w:t>
                  </w:r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: </w:t>
                  </w: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>он</w:t>
                  </w: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о</w:t>
                  </w: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 xml:space="preserve"> не заверен</w:t>
                  </w: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о</w:t>
                  </w: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электронно-цифровой подписью всех членов консорциума.</w:t>
                  </w:r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</w:t>
                  </w:r>
                </w:p>
                <w:p w:rsid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5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7E31A6" w:rsidRDefault="008410CE" w:rsidP="00832D5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6.3</w:t>
                  </w:r>
                  <w:r>
                    <w:rPr>
                      <w:rFonts w:ascii="GHEA Grapalat" w:hAnsi="GHEA Grapalat" w:cs="Arial"/>
                      <w:bCs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заявке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представленном 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proofErr w:type="spellStart"/>
                  <w:proofErr w:type="gram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Саргис</w:t>
                  </w:r>
                  <w:proofErr w:type="spellEnd"/>
                  <w:proofErr w:type="gram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и Марианна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имеются все доку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менты, требуемые приглашением, но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они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не 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соответствуют требованиям, изложенным в приглашении в частности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:</w:t>
                  </w:r>
                  <w:r w:rsidR="00C93A3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                                                     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>6.3.1 Приложение №1: Срок действия ссылки на сайт, содержащий информацию о бенефициарных собственниках в заявке-заявлении, истек.</w:t>
                  </w:r>
                </w:p>
                <w:p w:rsidR="008410CE" w:rsidRPr="008410CE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>6.3.2 Представленные участником договоры, необходимые для оценки квалификационного критерия «Профессиональный опыт» в пункте 2.4 части I приглашения, не реализованы в течение года подачи заявки и трех предшествующих ему лет, поэтому не могут оцениваться как аналогичные контракты.</w:t>
                  </w:r>
                </w:p>
                <w:p w:rsidR="007E31A6" w:rsidRDefault="008410CE" w:rsidP="008410CE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 w:rsidRPr="008410CE">
                    <w:rPr>
                      <w:rFonts w:ascii="GHEA Grapalat" w:hAnsi="GHEA Grapalat" w:cs="Arial"/>
                      <w:bCs/>
                      <w:lang w:val="hy-AM"/>
                    </w:rPr>
                    <w:t>6.3.3 Справка о персонале, предлагаемом для исполнения договора, необходимом для оценки квалификационного критерия «Трудовые ресурсы» по пункту 2.4 части I приглашения, не соответствует формату, указанному в приглашении, «работодатель кроме того, в ссылке отсутствует столбец имя;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1) Необходимо представить опыт работы всех специалистов в формате месяца, числа, года, чтобы четко провести оценку соответствия минимальному стажу работы /не менее 3 лет/, определенному в приглашении и подсчет баллов, начисленных участникам.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Кроме того, на каждого специалиста необходимо предоставить справку (справки) от работодателя/места работы за все указанные периоды и работу специалиста в требуемой по приглашению сфере деятельности в эти периоды.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2) Отсутствуют запрошенные по приглашению от работодателя справки об услугах, оказываемых специалистами в рамках аналогичного договора /за последние 5 лет/ согласно квалификации (справка может иметь формат, выбранный участником</w:t>
                  </w:r>
                  <w:proofErr w:type="gram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) .</w:t>
                  </w:r>
                  <w:proofErr w:type="gramEnd"/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3) отсутствуют документы, подтверждающие требуемую приглашением квалификацию лицензированного архитектора высшего класса подкласса А.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4) Письменное согласие, необходимое для приглашения инженера-электрика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Сасуна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Самвели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Мирзояна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на его участие в проводимых работах, отсутствует, а срок действия предъявленного удостоверения личности истек.</w:t>
                  </w:r>
                </w:p>
                <w:p w:rsid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5) Срок действия паспорта инженера-гидротехника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Гагика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Гегама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Мадатяна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, представленного вместе с документами, подтверждающими его квалификацию, истек.</w:t>
                  </w:r>
                </w:p>
                <w:p w:rsidR="00FF40DD" w:rsidRDefault="00FF40DD" w:rsidP="00FF40DD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5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FF40DD" w:rsidRDefault="001678C7" w:rsidP="00832D5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>6.4</w:t>
                  </w:r>
                  <w:r w:rsidR="00FF40DD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заявке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представленном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ШИН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-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КОМФОРТ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имеются все доку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менты, требуемые приглашением, но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они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не 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соответствуют требованиям, изложенным в приглашении в частности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: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6.4.1 В справке о персонале, предлагаемом для исполнения заключаемого договора, необходимой для оценки квалификационного критерия «Трудовые ресурсы» по пункту 2.4 части I приглашения;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1) Необходимо представить стаж работы специалистов в формате месяца, числа, года, чтобы четко провести оценку соответствия минимальному стажу работы (не менее 3 лет), определенному в приглашении и расчете баллы, начисленные участникам.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Кроме того, на каждого специалиста необходимо предоставить справку (справки) от работодателя/места работы за все указанные периоды и работу </w:t>
                  </w: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lastRenderedPageBreak/>
                    <w:t>специалиста в требуемой по приглашению сфере деятельности в эти периоды.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2) Отсутствуют запрошенные по приглашению от работодателя справки об услугах, оказываемых специалистами в рамках аналогичного договора /в течение последних 5 лет/ согласно квалификации (справка может иметь формат, выбранный участником).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3) Отсутствуют сведения, необходимые для приглашения для дипломированного инженера-проектировщика-проектировщика высшего класса подкласса А и инженера систем связи.</w:t>
                  </w:r>
                </w:p>
                <w:p w:rsidR="001678C7" w:rsidRPr="00FF40DD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Arial"/>
                      <w:bCs/>
                      <w:lang w:val="ru-RU"/>
                    </w:rPr>
                  </w:pPr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4) </w:t>
                  </w:r>
                  <w:proofErr w:type="gram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В</w:t>
                  </w:r>
                  <w:proofErr w:type="gram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приглашении не предусматривалось требование инженеров-конструкторов первого класса подкласса «А1» и второго класса подкласса «А3», поэтому данные специалистов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Арама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Жораи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Хачатряна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и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Вигена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Мишая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</w:t>
                  </w:r>
                  <w:proofErr w:type="spellStart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>Агдаляна</w:t>
                  </w:r>
                  <w:proofErr w:type="spellEnd"/>
                  <w:r w:rsidRPr="001678C7">
                    <w:rPr>
                      <w:rFonts w:ascii="GHEA Grapalat" w:hAnsi="GHEA Grapalat" w:cs="Arial"/>
                      <w:bCs/>
                      <w:lang w:val="ru-RU"/>
                    </w:rPr>
                    <w:t xml:space="preserve"> оценке не подлежат.</w:t>
                  </w:r>
                </w:p>
                <w:p w:rsidR="006B2209" w:rsidRPr="00890B5D" w:rsidRDefault="006B2209" w:rsidP="00832D5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="00BC101E"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1678C7" w:rsidRPr="00890B5D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5</w:t>
                  </w:r>
                  <w:r w:rsidR="00BC101E" w:rsidRPr="00890B5D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="00BC101E" w:rsidRPr="00890B5D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BC101E" w:rsidRPr="00890B5D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  <w:p w:rsid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Cs/>
                      <w:lang w:val="ru-RU"/>
                    </w:rPr>
                    <w:t xml:space="preserve">6.5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 заявке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представленном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ОН ДИЗАЙН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имеются все доку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менты, требуемые приглашением, но</w:t>
                  </w:r>
                  <w:r w:rsidRPr="000717A3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они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не </w:t>
                  </w:r>
                  <w:r w:rsidRPr="000717A3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соответствуют требованиям, изложенным в приглашении в частности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: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6.5.1 В справке о персонале, предлагаемом для исполнения заключаемого договора, необходимой для оценки квалификационного критерия «Трудовые ресурсы» по пункту 2.4 части I приглашения;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1) Необходимо представить стаж работы специалистов в формате месяца, числа, года, чтобы четко провести оценку соответствия минимальному стажу работы (не менее 3 лет), определенному в приглашении и расчете баллы, начисленные участникам.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Кроме того, на каждого специалиста необходимо предоставить справку (справки) от работодателя/места работы за все указанные периоды и работу специалиста в требуемой по приглашению сфере деятельности в эти периоды.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2) Отсутствуют запрошенные по приглашению от работодателя справки об услугах, оказываемых специалистами в рамках аналогичного договора /в течение последних 5 лет/ согласно квалификации (справка может иметь формат, выбранный участником).</w:t>
                  </w:r>
                </w:p>
                <w:p w:rsidR="001678C7" w:rsidRP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3) Квалификация Владимира Армена </w:t>
                  </w:r>
                  <w:proofErr w:type="spellStart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Испиряна</w:t>
                  </w:r>
                  <w:proofErr w:type="spellEnd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не соответствует подписанному им договору и документам, подтверждающим квалификацию.</w:t>
                  </w:r>
                </w:p>
                <w:p w:rsidR="001678C7" w:rsidRDefault="001678C7" w:rsidP="001678C7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4) </w:t>
                  </w:r>
                  <w:proofErr w:type="gramStart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В</w:t>
                  </w:r>
                  <w:proofErr w:type="gramEnd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приглашении не была предусмотрена заявка на инженера-конструктора второго класса подкласса «А2», поэтому данные специалиста </w:t>
                  </w:r>
                  <w:proofErr w:type="spellStart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Андраника</w:t>
                  </w:r>
                  <w:proofErr w:type="spellEnd"/>
                  <w:r w:rsidRPr="001678C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Рафики Погосяна оценке не подлежат.</w:t>
                  </w:r>
                </w:p>
                <w:p w:rsidR="001678C7" w:rsidRPr="001678C7" w:rsidRDefault="001678C7" w:rsidP="00832D5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Принятое</w:t>
                  </w:r>
                  <w:proofErr w:type="spellEnd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решение</w:t>
                  </w:r>
                  <w:proofErr w:type="spellEnd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за</w:t>
                  </w:r>
                  <w:proofErr w:type="spellEnd"/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5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против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 0</w:t>
                  </w:r>
                  <w:proofErr w:type="gramEnd"/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.</w:t>
                  </w:r>
                </w:p>
              </w:tc>
            </w:tr>
            <w:tr w:rsidR="006B2209" w:rsidRPr="00890B5D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342ED8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6.1, 6.2, 6.3, 6.4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6.5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</w:t>
                        </w:r>
                        <w:r w:rsidRPr="0001627A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342ED8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после исправления в </w:t>
                        </w:r>
                        <w:r w:rsidR="00B5357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участниками несоответствий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6.1, 6.2, 6.3, 6.4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6.5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в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>8.2 Очеред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ное заседание комиссии созвать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A32D74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Заседание оценочной комиссии продолжилось </w:t>
                        </w:r>
                        <w:r w:rsidR="00B53576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09.09</w:t>
                        </w: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.2024г. в 15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: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hy-AM"/>
                          </w:rPr>
                          <w:t>0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0 часов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lastRenderedPageBreak/>
                          <w:t xml:space="preserve">            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342ED8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C73F9B" w:rsidRDefault="00B53576" w:rsidP="00B53576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lastRenderedPageBreak/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B53576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342ED8" w:rsidTr="001A2160">
                    <w:trPr>
                      <w:gridBefore w:val="1"/>
                      <w:wBefore w:w="78" w:type="dxa"/>
                      <w:trHeight w:val="621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B53576" w:rsidRPr="00B53576" w:rsidRDefault="00B53576" w:rsidP="00B53576">
                        <w:pPr>
                          <w:spacing w:after="0"/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Консорциум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 «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Институт водных и гидротехники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им. Академика И. В. Егиазарова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ЗАО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, «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АМАГ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, «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НПО средств связи Е</w:t>
                        </w:r>
                        <w:proofErr w:type="spell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ревана</w:t>
                        </w:r>
                        <w:proofErr w:type="spellEnd"/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ЗАО, 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Саргис</w:t>
                        </w:r>
                        <w:proofErr w:type="spellEnd"/>
                        <w:proofErr w:type="gramEnd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и Марианна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ООО,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ШИН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КОМФОРТ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 и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ОН ДИЗАЙН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B53576" w:rsidRDefault="00B53576" w:rsidP="00B53576">
                        <w:pPr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1678C7" w:rsidRPr="008D75CA" w:rsidTr="00444E2B">
                    <w:trPr>
                      <w:gridBefore w:val="1"/>
                      <w:wBefore w:w="78" w:type="dxa"/>
                      <w:trHeight w:val="234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B53576" w:rsidP="00B5357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068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Председатель комиссии`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М.Агаянц</w:t>
                        </w:r>
                        <w:proofErr w:type="spellEnd"/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0717A3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444E2B">
                    <w:trPr>
                      <w:gridBefore w:val="1"/>
                      <w:wBefore w:w="78" w:type="dxa"/>
                      <w:trHeight w:val="7821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74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5087"/>
                          <w:gridCol w:w="1901"/>
                          <w:gridCol w:w="6"/>
                          <w:gridCol w:w="1768"/>
                          <w:gridCol w:w="1775"/>
                          <w:gridCol w:w="1743"/>
                          <w:gridCol w:w="1810"/>
                        </w:tblGrid>
                        <w:tr w:rsidR="00890B5D" w:rsidRPr="00FE36AB" w:rsidTr="00444E2B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87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890B5D" w:rsidRPr="008D75CA" w:rsidTr="00C92CFA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44E2B" w:rsidRDefault="00890B5D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18"/>
                                  <w:szCs w:val="18"/>
                                  <w:highlight w:val="red"/>
                                  <w:lang w:val="af-ZA" w:eastAsia="ru-RU"/>
                                </w:rPr>
                              </w:pP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«</w:t>
                              </w:r>
                              <w:proofErr w:type="spellStart"/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Саргис</w:t>
                              </w:r>
                              <w:proofErr w:type="spellEnd"/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 и Марианна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» 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</w:tcPr>
                            <w:p w:rsidR="00890B5D" w:rsidRPr="00444E2B" w:rsidRDefault="00890B5D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«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ОН ДИЗАЙН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» 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</w:tcPr>
                            <w:p w:rsidR="00890B5D" w:rsidRPr="00444E2B" w:rsidRDefault="00890B5D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«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ШИН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>-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КОМФОРТ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» 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>ООО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</w:tcPr>
                            <w:p w:rsidR="00890B5D" w:rsidRPr="00444E2B" w:rsidRDefault="00890B5D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 «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  <w:t>Гидроэк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hy-AM"/>
                                </w:rPr>
                                <w:t xml:space="preserve">» 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  <w:t>ООО</w:t>
                              </w:r>
                              <w:r w:rsidRPr="00444E2B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  <w:t xml:space="preserve"> (Консорциум)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271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5087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C92CFA" w:rsidRDefault="00C92CFA" w:rsidP="00FE36A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C92CFA" w:rsidRPr="003559A0" w:rsidRDefault="00C92CFA" w:rsidP="00C92CF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C92CFA" w:rsidRPr="003559A0" w:rsidRDefault="00C92CFA" w:rsidP="00C92CF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C25413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C25413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14.58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10.61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32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27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</w:tcPr>
                            <w:p w:rsidR="00C92CFA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55600000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71181F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eastAsia="ru-RU"/>
                                </w:rPr>
                                <w:t>20268000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14750000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6000000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27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</w:tcPr>
                            <w:p w:rsidR="00C92CFA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55600000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55600000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55600000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55600000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309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5087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C92CFA" w:rsidRDefault="00C92CFA" w:rsidP="00FE36AB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C92CFA" w:rsidRPr="003559A0" w:rsidRDefault="00C92CFA" w:rsidP="00FE36AB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C92CFA" w:rsidRPr="00EA5090" w:rsidRDefault="00C92CFA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8F0CF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16.47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13.49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309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</w:tcPr>
                            <w:p w:rsidR="00C92CFA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34.90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3E709D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84.7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3E709D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28.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30.64</w:t>
                              </w:r>
                            </w:p>
                          </w:tc>
                        </w:tr>
                        <w:tr w:rsidR="00C92CFA" w:rsidRPr="00864E39" w:rsidTr="00FE36AB">
                          <w:trPr>
                            <w:trHeight w:val="1309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</w:tcPr>
                            <w:p w:rsidR="00C92CFA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92CFA" w:rsidRPr="00832D57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A36B0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84.79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C92CFA" w:rsidRPr="003E709D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84.7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C92CFA" w:rsidRPr="003E709D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84.7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C92CFA" w:rsidRPr="003E709D" w:rsidRDefault="00C92CFA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0A36B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84.7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</w:tr>
                        <w:tr w:rsidR="00FE36AB" w:rsidRPr="00EA5090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lastRenderedPageBreak/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9003" w:type="dxa"/>
                              <w:gridSpan w:val="6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</w:tcPr>
                            <w:p w:rsidR="00FE36AB" w:rsidRDefault="00FE36AB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11900000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  <w:hideMark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9000000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  <w:hideMark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3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6000000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5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7950000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003" w:type="dxa"/>
                              <w:gridSpan w:val="6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11900000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15980000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15855000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11900000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13000000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1588000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15955000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9000000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6000000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6150000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7920000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6000000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8F0CF7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8F0CF7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8000000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7950000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10555000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FE36AB" w:rsidRPr="00D7005E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7005E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8000000</w:t>
                              </w:r>
                            </w:p>
                          </w:tc>
                        </w:tr>
                        <w:tr w:rsidR="00FE36AB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096" w:type="dxa"/>
                              <w:gridSpan w:val="4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177E0D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14.89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15.01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</w:tr>
                        <w:tr w:rsidR="00177E0D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13.85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11.34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11.28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</w:tr>
                        <w:tr w:rsidR="00177E0D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19.51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15.15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</w:tr>
                        <w:tr w:rsidR="00177E0D" w:rsidRPr="00864E39" w:rsidTr="00FE36AB">
                          <w:trPr>
                            <w:trHeight w:val="368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19.88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15.06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19.88</w:t>
                              </w:r>
                            </w:p>
                          </w:tc>
                        </w:tr>
                        <w:tr w:rsidR="00C92CFA" w:rsidRPr="00864E39" w:rsidTr="00444E2B">
                          <w:trPr>
                            <w:trHeight w:val="511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5087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7102" w:type="dxa"/>
                              <w:gridSpan w:val="5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177E0D" w:rsidRPr="00864E39" w:rsidTr="00444E2B">
                          <w:trPr>
                            <w:trHeight w:val="51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76.47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69.47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39.11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38.77</w:t>
                              </w:r>
                            </w:p>
                          </w:tc>
                        </w:tr>
                        <w:tr w:rsidR="00177E0D" w:rsidRPr="00864E39" w:rsidTr="00444E2B">
                          <w:trPr>
                            <w:trHeight w:val="51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70.31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65.92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35.38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38.77</w:t>
                              </w:r>
                            </w:p>
                          </w:tc>
                        </w:tr>
                        <w:tr w:rsidR="00177E0D" w:rsidRPr="00864E39" w:rsidTr="00444E2B">
                          <w:trPr>
                            <w:trHeight w:val="51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177E0D" w:rsidRPr="00832D57" w:rsidRDefault="00177E0D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76.47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74.09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39.25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38.77</w:t>
                              </w:r>
                            </w:p>
                          </w:tc>
                        </w:tr>
                        <w:tr w:rsidR="00177E0D" w:rsidRPr="008D75CA" w:rsidTr="00444E2B">
                          <w:trPr>
                            <w:trHeight w:val="512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  <w:hideMark/>
                            </w:tcPr>
                            <w:p w:rsidR="00177E0D" w:rsidRPr="00832D57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087" w:type="dxa"/>
                              <w:vMerge/>
                              <w:shd w:val="clear" w:color="000000" w:fill="FFFFFF"/>
                              <w:hideMark/>
                            </w:tcPr>
                            <w:p w:rsidR="00177E0D" w:rsidRPr="00832D57" w:rsidRDefault="00177E0D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177E0D" w:rsidRPr="00D7005E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76.34</w:t>
                              </w:r>
                            </w:p>
                          </w:tc>
                          <w:tc>
                            <w:tcPr>
                              <w:tcW w:w="1775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74.58</w:t>
                              </w:r>
                            </w:p>
                          </w:tc>
                          <w:tc>
                            <w:tcPr>
                              <w:tcW w:w="1743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39.1</w:t>
                              </w: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810" w:type="dxa"/>
                              <w:shd w:val="clear" w:color="000000" w:fill="FFFFFF"/>
                              <w:vAlign w:val="center"/>
                            </w:tcPr>
                            <w:p w:rsidR="00177E0D" w:rsidRPr="003E709D" w:rsidRDefault="00177E0D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</w:pP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38.6</w:t>
                              </w:r>
                              <w:r w:rsidRPr="003E709D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lastRenderedPageBreak/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07497A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ru-RU"/>
                          </w:rPr>
                          <w:t>По 1-ому лоту: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Саргис</w:t>
                        </w:r>
                        <w:proofErr w:type="spellEnd"/>
                        <w:proofErr w:type="gramEnd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и Марианна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,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ОН ДИЗАЙН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3-ое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D45010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ШИН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КОМФОРТ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4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-ое место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признать</w:t>
                        </w:r>
                        <w:r w:rsidRPr="00827092">
                          <w:rPr>
                            <w:rFonts w:ascii="GHEA Grapalat" w:hAnsi="GHEA Grapalat"/>
                            <w:b/>
                            <w:lang w:val="hy-AM"/>
                          </w:rPr>
                          <w:t xml:space="preserve"> 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 «</w:t>
                        </w:r>
                        <w:proofErr w:type="gramEnd"/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(Консорциум)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ru-RU"/>
                          </w:rPr>
                          <w:t>По 2-ому лоту:</w:t>
                        </w:r>
                        <w:r w:rsidRPr="00D45010"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lastRenderedPageBreak/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Саргис</w:t>
                        </w:r>
                        <w:proofErr w:type="spellEnd"/>
                        <w:proofErr w:type="gramEnd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и Марианна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ОН ДИЗАЙН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3-ое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177E0D"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 w:rsidR="00177E0D"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="00177E0D"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(Консорциум)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FE36AB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4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-ое место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признать</w:t>
                        </w:r>
                        <w:r w:rsidRPr="00827092">
                          <w:rPr>
                            <w:rFonts w:ascii="GHEA Grapalat" w:hAnsi="GHEA Grapalat"/>
                            <w:b/>
                            <w:lang w:val="hy-AM"/>
                          </w:rPr>
                          <w:t xml:space="preserve"> 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 </w:t>
                        </w:r>
                        <w:r w:rsidR="00177E0D" w:rsidRPr="00D45010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proofErr w:type="gramEnd"/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ШИН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-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КОМФОРТ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="00177E0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="00FE36AB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ru-RU"/>
                          </w:rPr>
                          <w:t>По 3-му лоту:</w:t>
                        </w:r>
                        <w:r w:rsidRPr="00D45010"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Саргис</w:t>
                        </w:r>
                        <w:proofErr w:type="spellEnd"/>
                        <w:proofErr w:type="gramEnd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и Марианна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ОН ДИЗАЙН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3-ое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D45010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ШИН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КОМФОРТ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FE36AB" w:rsidRPr="0007497A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4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-ое место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признать</w:t>
                        </w:r>
                        <w:r w:rsidRPr="00827092">
                          <w:rPr>
                            <w:rFonts w:ascii="GHEA Grapalat" w:hAnsi="GHEA Grapalat"/>
                            <w:b/>
                            <w:lang w:val="hy-AM"/>
                          </w:rPr>
                          <w:t xml:space="preserve"> 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 «</w:t>
                        </w:r>
                        <w:proofErr w:type="gramEnd"/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(Консорциум)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color w:val="000000"/>
                            <w:sz w:val="20"/>
                            <w:szCs w:val="20"/>
                            <w:lang w:val="ru-RU"/>
                          </w:rPr>
                          <w:t>По 5-ому лоту: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Саргис</w:t>
                        </w:r>
                        <w:proofErr w:type="spellEnd"/>
                        <w:proofErr w:type="gramEnd"/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и Марианна</w:t>
                        </w:r>
                        <w:r w:rsidRPr="00A44BC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2-ое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ОН ДИЗАЙН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36793D" w:rsidRPr="00D45010" w:rsidRDefault="0036793D" w:rsidP="003679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3-ое место признать</w:t>
                        </w:r>
                        <w:r w:rsidRPr="00D45010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D45010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ШИН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КОМФОРТ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ООО</w:t>
                        </w:r>
                        <w:r w:rsidRPr="00D45010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hy-AM"/>
                          </w:rPr>
                          <w:t>,</w:t>
                        </w:r>
                      </w:p>
                      <w:p w:rsidR="001678C7" w:rsidRDefault="0036793D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4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-ое место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признать</w:t>
                        </w:r>
                        <w:r w:rsidRPr="00827092">
                          <w:rPr>
                            <w:rFonts w:ascii="GHEA Grapalat" w:hAnsi="GHEA Grapalat"/>
                            <w:b/>
                            <w:lang w:val="hy-AM"/>
                          </w:rPr>
                          <w:t xml:space="preserve"> 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 «</w:t>
                        </w:r>
                        <w:proofErr w:type="gramEnd"/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(Консорциум)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lastRenderedPageBreak/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  <w:r w:rsidRPr="002305F8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2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а основании 4-ого подпункта пункта 40 порядка "Организации процесса закупок", утвержденный решением правительства РА от 04.05.2017 г. N 526-Ն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 пункта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6.1.5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настоящего протокола,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тклонить заявку </w:t>
                        </w:r>
                        <w:r w:rsidRPr="00545AD4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>«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Гидроэк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hy-AM"/>
                          </w:rPr>
                          <w:t xml:space="preserve">» </w:t>
                        </w:r>
                        <w:r w:rsidRPr="005A70FD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af-ZA"/>
                          </w:rPr>
                          <w:t>ООО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(Консорциум) по 4-ому лоту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, на основании не соответствия заявки участника условиям приглашения.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Секретарь`                               Арсен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Согомонян</w:t>
                        </w:r>
                        <w:proofErr w:type="spellEnd"/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342ED8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 Н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а основании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4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-ого пункта, 1-ой части, статьи 37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Закона РА "О закупках"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процедуру закупки по 4-ому лоту </w:t>
                        </w:r>
                        <w:r w:rsidRPr="001A2160">
                          <w:rPr>
                            <w:rFonts w:ascii="GHEA Grapalat" w:hAnsi="GHEA Grapalat"/>
                            <w:lang w:val="ru-RU"/>
                          </w:rPr>
                          <w:t>объ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явить </w:t>
                        </w:r>
                        <w:r w:rsidRPr="001A2160">
                          <w:rPr>
                            <w:rFonts w:ascii="GHEA Grapalat" w:hAnsi="GHEA Grapalat"/>
                            <w:lang w:val="ru-RU"/>
                          </w:rPr>
                          <w:t>несостоявшейся</w:t>
                        </w:r>
                        <w:r>
                          <w:rPr>
                            <w:rFonts w:ascii="GHEA Grapalat" w:hAnsi="GHEA Grapalat"/>
                            <w:lang w:val="ru-RU"/>
                          </w:rPr>
                          <w:t>, основанием</w:t>
                        </w:r>
                        <w:r w:rsidR="00444E2B">
                          <w:rPr>
                            <w:rFonts w:ascii="GHEA Grapalat" w:eastAsia="Calibri" w:hAnsi="GHEA Grapalat" w:cs="Sylfaen"/>
                            <w:sz w:val="20"/>
                            <w:szCs w:val="20"/>
                            <w:lang w:val="ru-RU"/>
                          </w:rPr>
                          <w:t>: договор не заключается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342ED8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5DD6">
                          <w:rPr>
                            <w:rFonts w:ascii="GHEA Grapalat" w:eastAsia="Calibri" w:hAnsi="GHEA Grapalat" w:cs="Sylfaen"/>
                            <w:sz w:val="20"/>
                            <w:szCs w:val="20"/>
                            <w:lang w:val="hy-AM"/>
                          </w:rPr>
                          <w:t>Опубликовать</w:t>
                        </w:r>
                        <w:r w:rsidRPr="00072431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 </w:t>
                        </w:r>
                        <w:r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о </w:t>
                        </w:r>
                        <w:r w:rsidRPr="00FF2A83">
                          <w:rPr>
                            <w:rFonts w:ascii="GHEA Grapalat" w:eastAsia="Calibri" w:hAnsi="GHEA Grapalat" w:cs="Sylfaen"/>
                            <w:sz w:val="20"/>
                            <w:szCs w:val="20"/>
                            <w:lang w:val="hy-AM"/>
                          </w:rPr>
                          <w:t>несостоявшейся</w:t>
                        </w:r>
                        <w:r w:rsidRPr="00072431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 процесс</w:t>
                        </w:r>
                        <w:r>
                          <w:rPr>
                            <w:rFonts w:ascii="GHEA Grapalat" w:eastAsia="Calibri" w:hAnsi="GHEA Grapalat" w:cs="Sylfaen"/>
                            <w:lang w:val="ru-RU"/>
                          </w:rPr>
                          <w:t>а</w:t>
                        </w:r>
                        <w:r w:rsidRPr="00072431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 закупки</w:t>
                        </w:r>
                        <w:r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 по 4-ому лоту</w:t>
                        </w:r>
                        <w:r w:rsidRPr="00285DD6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, согласно которой, </w:t>
                        </w:r>
                        <w:r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на основании</w:t>
                        </w:r>
                        <w:r w:rsidRPr="00285DD6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 статьи</w:t>
                        </w:r>
                        <w:r w:rsidRPr="00072431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342ED8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2305F8" w:rsidRDefault="00444E2B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11.3 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Утвердить текст декларации о решении о подписании договора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</w:t>
                        </w:r>
                        <w:r w:rsidRPr="00B35A59">
                          <w:rPr>
                            <w:rFonts w:ascii="GHEA Grapalat" w:eastAsia="Calibri" w:hAnsi="GHEA Grapalat" w:cs="Sylfaen"/>
                            <w:b/>
                            <w:sz w:val="20"/>
                            <w:lang w:val="hy-AM"/>
                          </w:rPr>
                          <w:t>1-</w:t>
                        </w:r>
                        <w:r>
                          <w:rPr>
                            <w:rFonts w:ascii="GHEA Grapalat" w:eastAsia="Calibri" w:hAnsi="GHEA Grapalat" w:cs="Sylfaen"/>
                            <w:b/>
                            <w:sz w:val="20"/>
                            <w:lang w:val="hy-AM"/>
                          </w:rPr>
                          <w:t>ому</w:t>
                        </w:r>
                        <w:r w:rsidRPr="00B35A59">
                          <w:rPr>
                            <w:rFonts w:ascii="GHEA Grapalat" w:eastAsia="Calibri" w:hAnsi="GHEA Grapalat" w:cs="Sylfaen"/>
                            <w:b/>
                            <w:sz w:val="20"/>
                            <w:lang w:val="hy-AM"/>
                          </w:rPr>
                          <w:t>, 2-</w:t>
                        </w:r>
                        <w:r>
                          <w:rPr>
                            <w:rFonts w:ascii="GHEA Grapalat" w:eastAsia="Calibri" w:hAnsi="GHEA Grapalat" w:cs="Sylfaen"/>
                            <w:b/>
                            <w:sz w:val="20"/>
                            <w:lang w:val="hy-AM"/>
                          </w:rPr>
                          <w:t>ому</w:t>
                        </w:r>
                        <w:r w:rsidRPr="00B35A59">
                          <w:rPr>
                            <w:rFonts w:ascii="GHEA Grapalat" w:eastAsia="Calibri" w:hAnsi="GHEA Grapalat" w:cs="Sylfaen"/>
                            <w:b/>
                            <w:sz w:val="20"/>
                            <w:lang w:val="af-ZA"/>
                          </w:rPr>
                          <w:t>,</w:t>
                        </w:r>
                        <w:r w:rsidRPr="00B35A59">
                          <w:rPr>
                            <w:rFonts w:ascii="GHEA Grapalat" w:eastAsia="Calibri" w:hAnsi="GHEA Grapalat" w:cs="Sylfaen"/>
                            <w:sz w:val="20"/>
                            <w:lang w:val="af-ZA"/>
                          </w:rPr>
                          <w:t xml:space="preserve"> </w:t>
                        </w:r>
                        <w:r w:rsidRPr="00EB3D1D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3-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ем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 xml:space="preserve">у </w:t>
                        </w:r>
                        <w:r w:rsidRPr="00EB3D1D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և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 xml:space="preserve"> 5</w:t>
                        </w:r>
                        <w:r w:rsidRPr="00EB3D1D"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GHEA Grapalat" w:hAnsi="GHEA Grapalat"/>
                            <w:b/>
                            <w:sz w:val="20"/>
                            <w:szCs w:val="20"/>
                            <w:lang w:val="ru-RU"/>
                          </w:rPr>
                          <w:t>ому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лотам 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FF40DD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342ED8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ՀՀԿԳՄՍՆԳՀԾՁԲ-24/62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792DD3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50898"/>
    <w:rsid w:val="00161582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644C9"/>
    <w:rsid w:val="0036793D"/>
    <w:rsid w:val="00372AE6"/>
    <w:rsid w:val="003A6772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6612"/>
    <w:rsid w:val="009A799C"/>
    <w:rsid w:val="009E6B3C"/>
    <w:rsid w:val="009F0E78"/>
    <w:rsid w:val="00A00521"/>
    <w:rsid w:val="00A140FE"/>
    <w:rsid w:val="00A451C0"/>
    <w:rsid w:val="00AA2AE5"/>
    <w:rsid w:val="00B055E6"/>
    <w:rsid w:val="00B26BE6"/>
    <w:rsid w:val="00B27B8B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3415-B13A-425B-8739-0C8B4B89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51</cp:revision>
  <dcterms:created xsi:type="dcterms:W3CDTF">2020-03-05T16:11:00Z</dcterms:created>
  <dcterms:modified xsi:type="dcterms:W3CDTF">2024-09-09T16:29:00Z</dcterms:modified>
</cp:coreProperties>
</file>