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16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16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16"/>
          <w:shd w:fill="auto" w:val="clear"/>
        </w:rPr>
        <w:t xml:space="preserve"> N 1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16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16"/>
          <w:shd w:fill="auto" w:val="clear"/>
        </w:rPr>
        <w:t xml:space="preserve">ՀՀ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16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16"/>
          <w:shd w:fill="auto" w:val="clear"/>
        </w:rPr>
        <w:t xml:space="preserve">ֆինանսների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16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16"/>
          <w:shd w:fill="auto" w:val="clear"/>
        </w:rPr>
        <w:t xml:space="preserve">նախարարի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16"/>
          <w:shd w:fill="auto" w:val="clear"/>
        </w:rPr>
        <w:t xml:space="preserve"> 2021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16"/>
          <w:shd w:fill="auto" w:val="clear"/>
        </w:rPr>
        <w:t xml:space="preserve">թվականի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16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16"/>
          <w:shd w:fill="auto" w:val="clear"/>
        </w:rPr>
        <w:t xml:space="preserve">հունիսի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16"/>
          <w:shd w:fill="auto" w:val="clear"/>
        </w:rPr>
        <w:t xml:space="preserve"> 29-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16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16"/>
          <w:shd w:fill="auto" w:val="clear"/>
        </w:rPr>
        <w:t xml:space="preserve"> N  323-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16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16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16"/>
          <w:shd w:fill="auto" w:val="clear"/>
        </w:rPr>
        <w:t xml:space="preserve">հրամանի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16"/>
          <w:shd w:fill="auto" w:val="clear"/>
        </w:rPr>
        <w:t xml:space="preserve">          </w:t>
      </w:r>
    </w:p>
    <w:p>
      <w:pPr>
        <w:spacing w:before="0" w:after="0" w:line="240"/>
        <w:ind w:right="0" w:left="0" w:firstLine="72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ՀԱՅՏԱՐԱՐՈՒԹՅՈՒՆ</w:t>
      </w:r>
    </w:p>
    <w:p>
      <w:pPr>
        <w:spacing w:before="0" w:after="240" w:line="36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մասին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Մարտունու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համայնքապետարանը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գտնվում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Գեղարքունիքի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մարզ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Մարտունի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համայնք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Շահումյան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2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հասցեում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ստորև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կարիքների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Գեղարքունիքի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մարզի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Մարտունու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համայնքապետարանի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կարիքների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Տրանսպորտային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վարձակալություն՝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ուղևորների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փոխադրման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» 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ծառայությունների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 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ձեռքբերման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նպատակով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կազմակերպված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ԳՄՄՀ-ԳՀԾՁԲ-24/02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արդյունքում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տեղեկատվությունը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`</w:t>
      </w:r>
    </w:p>
    <w:tbl>
      <w:tblPr/>
      <w:tblGrid>
        <w:gridCol w:w="814"/>
        <w:gridCol w:w="303"/>
        <w:gridCol w:w="403"/>
        <w:gridCol w:w="841"/>
        <w:gridCol w:w="306"/>
        <w:gridCol w:w="218"/>
        <w:gridCol w:w="314"/>
        <w:gridCol w:w="320"/>
        <w:gridCol w:w="283"/>
        <w:gridCol w:w="290"/>
        <w:gridCol w:w="323"/>
        <w:gridCol w:w="382"/>
        <w:gridCol w:w="254"/>
        <w:gridCol w:w="327"/>
        <w:gridCol w:w="331"/>
        <w:gridCol w:w="603"/>
        <w:gridCol w:w="339"/>
        <w:gridCol w:w="475"/>
        <w:gridCol w:w="348"/>
        <w:gridCol w:w="578"/>
        <w:gridCol w:w="353"/>
        <w:gridCol w:w="361"/>
        <w:gridCol w:w="519"/>
        <w:gridCol w:w="371"/>
        <w:gridCol w:w="319"/>
        <w:gridCol w:w="375"/>
        <w:gridCol w:w="273"/>
        <w:gridCol w:w="272"/>
        <w:gridCol w:w="385"/>
        <w:gridCol w:w="390"/>
        <w:gridCol w:w="636"/>
        <w:gridCol w:w="399"/>
        <w:gridCol w:w="405"/>
        <w:gridCol w:w="441"/>
        <w:gridCol w:w="415"/>
        <w:gridCol w:w="425"/>
        <w:gridCol w:w="1651"/>
      </w:tblGrid>
      <w:tr>
        <w:trPr>
          <w:trHeight w:val="146" w:hRule="auto"/>
          <w:jc w:val="left"/>
        </w:trPr>
        <w:tc>
          <w:tcPr>
            <w:tcW w:w="1117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925" w:type="dxa"/>
            <w:gridSpan w:val="3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առարկայի</w:t>
            </w:r>
          </w:p>
        </w:tc>
      </w:tr>
      <w:tr>
        <w:trPr>
          <w:trHeight w:val="110" w:hRule="auto"/>
          <w:jc w:val="left"/>
        </w:trPr>
        <w:tc>
          <w:tcPr>
            <w:tcW w:w="1117" w:type="dxa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չափաբաժնի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համարը</w:t>
            </w:r>
          </w:p>
        </w:tc>
        <w:tc>
          <w:tcPr>
            <w:tcW w:w="2402" w:type="dxa"/>
            <w:gridSpan w:val="6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7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անվանումը</w:t>
            </w:r>
          </w:p>
        </w:tc>
        <w:tc>
          <w:tcPr>
            <w:tcW w:w="573" w:type="dxa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չափման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միավորը</w:t>
            </w:r>
          </w:p>
        </w:tc>
        <w:tc>
          <w:tcPr>
            <w:tcW w:w="2220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քանակը</w:t>
            </w:r>
          </w:p>
        </w:tc>
        <w:tc>
          <w:tcPr>
            <w:tcW w:w="4311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նախահաշվային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գինը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</w:p>
        </w:tc>
        <w:tc>
          <w:tcPr>
            <w:tcW w:w="2928" w:type="dxa"/>
            <w:gridSpan w:val="7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համառոտ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նկարագրությունը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տեխնիկական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բնութագիր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)</w:t>
            </w:r>
          </w:p>
        </w:tc>
        <w:tc>
          <w:tcPr>
            <w:tcW w:w="2491" w:type="dxa"/>
            <w:gridSpan w:val="3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պայմանագրով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նախատեսված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համառոտ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նկարագրությունը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տեխնիկական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բնութագիր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)</w:t>
            </w:r>
          </w:p>
        </w:tc>
      </w:tr>
      <w:tr>
        <w:trPr>
          <w:trHeight w:val="175" w:hRule="auto"/>
          <w:jc w:val="left"/>
        </w:trPr>
        <w:tc>
          <w:tcPr>
            <w:tcW w:w="1117" w:type="dxa"/>
            <w:gridSpan w:val="2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402" w:type="dxa"/>
            <w:gridSpan w:val="6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959" w:type="dxa"/>
            <w:gridSpan w:val="3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առկա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ֆինանսական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միջոցներով</w:t>
            </w:r>
          </w:p>
        </w:tc>
        <w:tc>
          <w:tcPr>
            <w:tcW w:w="1261" w:type="dxa"/>
            <w:gridSpan w:val="3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7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ընդհանուր</w:t>
            </w:r>
          </w:p>
        </w:tc>
        <w:tc>
          <w:tcPr>
            <w:tcW w:w="4311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դրամ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/</w:t>
            </w:r>
          </w:p>
        </w:tc>
        <w:tc>
          <w:tcPr>
            <w:tcW w:w="2928" w:type="dxa"/>
            <w:gridSpan w:val="7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91" w:type="dxa"/>
            <w:gridSpan w:val="3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75" w:hRule="auto"/>
          <w:jc w:val="left"/>
        </w:trPr>
        <w:tc>
          <w:tcPr>
            <w:tcW w:w="1117" w:type="dxa"/>
            <w:gridSpan w:val="2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402" w:type="dxa"/>
            <w:gridSpan w:val="6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959" w:type="dxa"/>
            <w:gridSpan w:val="3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1" w:type="dxa"/>
            <w:gridSpan w:val="3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093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առկա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ֆինանսական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միջոցներով</w:t>
            </w:r>
          </w:p>
        </w:tc>
        <w:tc>
          <w:tcPr>
            <w:tcW w:w="221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7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ընդհանուր</w:t>
            </w:r>
          </w:p>
        </w:tc>
        <w:tc>
          <w:tcPr>
            <w:tcW w:w="2928" w:type="dxa"/>
            <w:gridSpan w:val="7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91" w:type="dxa"/>
            <w:gridSpan w:val="3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0" w:hRule="auto"/>
          <w:jc w:val="left"/>
        </w:trPr>
        <w:tc>
          <w:tcPr>
            <w:tcW w:w="1117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2402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Գեղարքունիքի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մարզի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Մարտունու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համայնքապետարանի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կարիքների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«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Տրանսպորտային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միջոցների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վարձակալություն՝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ուղևորների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փոխադրման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» 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ծառայությունների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 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ձեռքբերում</w:t>
            </w:r>
          </w:p>
        </w:tc>
        <w:tc>
          <w:tcPr>
            <w:tcW w:w="573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դրամ</w:t>
            </w:r>
          </w:p>
        </w:tc>
        <w:tc>
          <w:tcPr>
            <w:tcW w:w="959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1261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2093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3</w:t>
            </w: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000 000</w:t>
            </w:r>
          </w:p>
        </w:tc>
        <w:tc>
          <w:tcPr>
            <w:tcW w:w="221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8378" w:leader="none"/>
                <w:tab w:val="left" w:pos="9088" w:leader="none"/>
                <w:tab w:val="left" w:pos="9940" w:leader="none"/>
              </w:tabs>
              <w:spacing w:before="0" w:after="0" w:line="240"/>
              <w:ind w:right="-180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3</w:t>
            </w: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000 000</w:t>
            </w:r>
          </w:p>
        </w:tc>
        <w:tc>
          <w:tcPr>
            <w:tcW w:w="5419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Ծառայության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մատուցման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անհրաժեշտ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փոխադրամիջոցներ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որը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պետք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համապատասխանի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հետևյալ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չափանիշներին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•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տասը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ավելի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նստատեղ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ունեցող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մարդատար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ավտոմեքենա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,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անկախ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մակնիշից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տեխնիկապես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սարքին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վիճակում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Գեղարքունիքի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մարզի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տարածքում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փոխադրելիս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 1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կմ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ի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արժեքը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 300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դրամ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մարզից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դուրս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տեղափոխելիս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 1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կմ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ի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արժեքը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 250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դրամ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•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տասից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քիչ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նստատեղ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ունեցող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մարդատար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ավտոմեքենա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,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անկախ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մակնիշից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տեխնիկապես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սարքին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վիճակում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(1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կմ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արժեքը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100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դրամ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):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•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պետք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ապահովված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լինի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բոլոր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անհրաժեշտ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սարքերով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անվտանգության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գոտիներ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դեղարկղ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կրակմարիչ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այլն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/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•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վարորդը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պետք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ունենա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համապատասխան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որոկավորում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վարորդական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իրավունք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Ծառայությունը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իրականացվում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ըստ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պահանջի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: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Պատվերի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դեպքում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պատվիրատուն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մեկ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օր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առաջ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տեղեկացնում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կատարողին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վերջինիս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կողմից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ավտոմեքենան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պետք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ժամանակին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տրամադրվի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պատվիրատուին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:</w:t>
            </w:r>
          </w:p>
        </w:tc>
      </w:tr>
      <w:tr>
        <w:trPr>
          <w:trHeight w:val="169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37" w:hRule="auto"/>
          <w:jc w:val="left"/>
        </w:trPr>
        <w:tc>
          <w:tcPr>
            <w:tcW w:w="5709" w:type="dxa"/>
            <w:gridSpan w:val="1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Կիրառված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ընթացակարգը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դրա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ընտրության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հիմնավորումը</w:t>
            </w:r>
          </w:p>
        </w:tc>
        <w:tc>
          <w:tcPr>
            <w:tcW w:w="10333" w:type="dxa"/>
            <w:gridSpan w:val="2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«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Գնումների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»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օրենքը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կառավարության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04.05.2017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 N526-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որոշումը</w:t>
            </w:r>
          </w:p>
        </w:tc>
      </w:tr>
      <w:tr>
        <w:trPr>
          <w:trHeight w:val="196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55" w:hRule="auto"/>
          <w:jc w:val="left"/>
        </w:trPr>
        <w:tc>
          <w:tcPr>
            <w:tcW w:w="9656" w:type="dxa"/>
            <w:gridSpan w:val="2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Հրավեր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ուղարկելու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հրապարակելու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6386" w:type="dxa"/>
            <w:gridSpan w:val="13"/>
            <w:tcBorders>
              <w:top w:val="single" w:color="000000" w:sz="8"/>
              <w:left w:val="single" w:color="000000" w:sz="8"/>
              <w:bottom w:val="single" w:color="ffffff" w:sz="6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12.01.2024թ.</w:t>
            </w:r>
          </w:p>
        </w:tc>
      </w:tr>
      <w:tr>
        <w:trPr>
          <w:trHeight w:val="164" w:hRule="auto"/>
          <w:jc w:val="left"/>
        </w:trPr>
        <w:tc>
          <w:tcPr>
            <w:tcW w:w="8766" w:type="dxa"/>
            <w:gridSpan w:val="22"/>
            <w:vMerge w:val="restart"/>
            <w:tcBorders>
              <w:top w:val="single" w:color="000000" w:sz="8"/>
              <w:left w:val="single" w:color="000000" w:sz="8"/>
              <w:bottom w:val="single" w:color="ffffff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Հրավերում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կատարված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փոփոխությունների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890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6386" w:type="dxa"/>
            <w:gridSpan w:val="1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</w:tr>
      <w:tr>
        <w:trPr>
          <w:trHeight w:val="77" w:hRule="auto"/>
          <w:jc w:val="left"/>
        </w:trPr>
        <w:tc>
          <w:tcPr>
            <w:tcW w:w="8766" w:type="dxa"/>
            <w:gridSpan w:val="22"/>
            <w:vMerge/>
            <w:tcBorders>
              <w:top w:val="single" w:color="ffffff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86" w:type="dxa"/>
            <w:gridSpan w:val="1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47" w:hRule="auto"/>
          <w:jc w:val="left"/>
        </w:trPr>
        <w:tc>
          <w:tcPr>
            <w:tcW w:w="8766" w:type="dxa"/>
            <w:gridSpan w:val="22"/>
            <w:vMerge w:val="restart"/>
            <w:tcBorders>
              <w:top w:val="single" w:color="000000" w:sz="8"/>
              <w:left w:val="single" w:color="000000" w:sz="8"/>
              <w:bottom w:val="single" w:color="ffffff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Հրավերի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վերաբերյալ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պարզաբանումների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890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54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Հարցարդման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ստացման</w:t>
            </w:r>
          </w:p>
        </w:tc>
        <w:tc>
          <w:tcPr>
            <w:tcW w:w="2932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Պարզաբանման</w:t>
            </w:r>
          </w:p>
        </w:tc>
      </w:tr>
      <w:tr>
        <w:trPr>
          <w:trHeight w:val="47" w:hRule="auto"/>
          <w:jc w:val="left"/>
        </w:trPr>
        <w:tc>
          <w:tcPr>
            <w:tcW w:w="8766" w:type="dxa"/>
            <w:gridSpan w:val="22"/>
            <w:vMerge/>
            <w:tcBorders>
              <w:top w:val="single" w:color="ffffff" w:sz="8"/>
              <w:left w:val="single" w:color="000000" w:sz="8"/>
              <w:bottom w:val="single" w:color="ffffff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3454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932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7" w:hRule="auto"/>
          <w:jc w:val="left"/>
        </w:trPr>
        <w:tc>
          <w:tcPr>
            <w:tcW w:w="8766" w:type="dxa"/>
            <w:gridSpan w:val="22"/>
            <w:vMerge/>
            <w:tcBorders>
              <w:top w:val="single" w:color="ffffff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54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932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54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20" w:hRule="auto"/>
          <w:jc w:val="left"/>
        </w:trPr>
        <w:tc>
          <w:tcPr>
            <w:tcW w:w="1520" w:type="dxa"/>
            <w:gridSpan w:val="3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</w:t>
            </w:r>
          </w:p>
        </w:tc>
        <w:tc>
          <w:tcPr>
            <w:tcW w:w="2895" w:type="dxa"/>
            <w:gridSpan w:val="8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անվանումը</w:t>
            </w:r>
          </w:p>
        </w:tc>
        <w:tc>
          <w:tcPr>
            <w:tcW w:w="11627" w:type="dxa"/>
            <w:gridSpan w:val="2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Յուրաքանչյուր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հայտով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ներառյալ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միաժամանակյա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բանակցությունների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կազմակերպման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արդյունքում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ներկայացված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գինը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 /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դրամ</w:t>
            </w:r>
          </w:p>
        </w:tc>
      </w:tr>
      <w:tr>
        <w:trPr>
          <w:trHeight w:val="365" w:hRule="auto"/>
          <w:jc w:val="left"/>
        </w:trPr>
        <w:tc>
          <w:tcPr>
            <w:tcW w:w="1520" w:type="dxa"/>
            <w:gridSpan w:val="3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95" w:type="dxa"/>
            <w:gridSpan w:val="8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870" w:type="dxa"/>
            <w:gridSpan w:val="1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Գինն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առանց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ԱԱՀ</w:t>
            </w:r>
          </w:p>
        </w:tc>
        <w:tc>
          <w:tcPr>
            <w:tcW w:w="3420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ԱԱՀ</w:t>
            </w:r>
          </w:p>
        </w:tc>
        <w:tc>
          <w:tcPr>
            <w:tcW w:w="3337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Ընդհանուր</w:t>
            </w:r>
          </w:p>
        </w:tc>
      </w:tr>
      <w:tr>
        <w:trPr>
          <w:trHeight w:val="50" w:hRule="auto"/>
          <w:jc w:val="left"/>
        </w:trPr>
        <w:tc>
          <w:tcPr>
            <w:tcW w:w="152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Չափաբաժին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1</w:t>
            </w:r>
          </w:p>
        </w:tc>
        <w:tc>
          <w:tcPr>
            <w:tcW w:w="14522" w:type="dxa"/>
            <w:gridSpan w:val="3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Գեղարքունիքի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մարզի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Մարտունու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համայնքապետարանի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կարիքների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«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Տրանսպորտային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միջոցների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վարձակալություն՝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ուղևորների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փոխադրման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» 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ծառայությունների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 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ձեռքբերում</w:t>
            </w:r>
          </w:p>
        </w:tc>
      </w:tr>
      <w:tr>
        <w:trPr>
          <w:trHeight w:val="83" w:hRule="auto"/>
          <w:jc w:val="left"/>
        </w:trPr>
        <w:tc>
          <w:tcPr>
            <w:tcW w:w="152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2895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576" w:hanging="576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Մարտունու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ԲՈՒԱՏ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ԲԲԸ</w:t>
            </w:r>
          </w:p>
        </w:tc>
        <w:tc>
          <w:tcPr>
            <w:tcW w:w="4870" w:type="dxa"/>
            <w:gridSpan w:val="1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576" w:hanging="576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000</w:t>
            </w: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000</w:t>
            </w:r>
          </w:p>
        </w:tc>
        <w:tc>
          <w:tcPr>
            <w:tcW w:w="3420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576" w:hanging="576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0</w:t>
            </w:r>
          </w:p>
        </w:tc>
        <w:tc>
          <w:tcPr>
            <w:tcW w:w="3337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576" w:hanging="576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000 000</w:t>
            </w:r>
          </w:p>
        </w:tc>
      </w:tr>
      <w:tr>
        <w:trPr>
          <w:trHeight w:val="37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Տվյալներ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մերժված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հայտերի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մասին</w:t>
            </w:r>
          </w:p>
        </w:tc>
      </w:tr>
      <w:tr>
        <w:trPr>
          <w:trHeight w:val="1" w:hRule="atLeast"/>
          <w:jc w:val="left"/>
        </w:trPr>
        <w:tc>
          <w:tcPr>
            <w:tcW w:w="814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բաժնի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համարը</w:t>
            </w:r>
          </w:p>
        </w:tc>
        <w:tc>
          <w:tcPr>
            <w:tcW w:w="1853" w:type="dxa"/>
            <w:gridSpan w:val="4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անվանումը</w:t>
            </w:r>
          </w:p>
        </w:tc>
        <w:tc>
          <w:tcPr>
            <w:tcW w:w="13375" w:type="dxa"/>
            <w:gridSpan w:val="3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Գնահատման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արդյունքները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բավարար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անբավարար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)</w:t>
            </w:r>
          </w:p>
        </w:tc>
      </w:tr>
      <w:tr>
        <w:trPr>
          <w:trHeight w:val="1" w:hRule="atLeast"/>
          <w:jc w:val="left"/>
        </w:trPr>
        <w:tc>
          <w:tcPr>
            <w:tcW w:w="814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53" w:type="dxa"/>
            <w:gridSpan w:val="4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130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Հրավերով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պահանջվող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փաստաթղթերի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առկայությունը</w:t>
            </w:r>
          </w:p>
        </w:tc>
        <w:tc>
          <w:tcPr>
            <w:tcW w:w="3255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Հայտով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ներկայացված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փաստաթղթերի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համապատասխանությունը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հրավերով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սահմանված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պահանջներին</w:t>
            </w:r>
          </w:p>
        </w:tc>
        <w:tc>
          <w:tcPr>
            <w:tcW w:w="4254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Առաջարկած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առարկայի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տեխնիկական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բնութագրերի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համապատասխանությունը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հրավերով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սահմանված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պահանջներին</w:t>
            </w:r>
          </w:p>
        </w:tc>
        <w:tc>
          <w:tcPr>
            <w:tcW w:w="3736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Գնային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առաջարկ</w:t>
            </w:r>
          </w:p>
        </w:tc>
      </w:tr>
      <w:tr>
        <w:trPr>
          <w:trHeight w:val="1" w:hRule="atLeast"/>
          <w:jc w:val="left"/>
        </w:trPr>
        <w:tc>
          <w:tcPr>
            <w:tcW w:w="8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  <w:tc>
          <w:tcPr>
            <w:tcW w:w="1853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  <w:tc>
          <w:tcPr>
            <w:tcW w:w="2130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  <w:tc>
          <w:tcPr>
            <w:tcW w:w="3255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  <w:tc>
          <w:tcPr>
            <w:tcW w:w="4254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  <w:tc>
          <w:tcPr>
            <w:tcW w:w="3736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</w:tr>
      <w:tr>
        <w:trPr>
          <w:trHeight w:val="262" w:hRule="auto"/>
          <w:jc w:val="left"/>
        </w:trPr>
        <w:tc>
          <w:tcPr>
            <w:tcW w:w="2667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Այլ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տեղեկություններ</w:t>
            </w:r>
          </w:p>
        </w:tc>
        <w:tc>
          <w:tcPr>
            <w:tcW w:w="13375" w:type="dxa"/>
            <w:gridSpan w:val="3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Ծանոթություն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Հայտերի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մերժման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այլ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հիմքեր</w:t>
            </w:r>
          </w:p>
        </w:tc>
      </w:tr>
      <w:tr>
        <w:trPr>
          <w:trHeight w:val="111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46" w:hRule="auto"/>
          <w:jc w:val="left"/>
        </w:trPr>
        <w:tc>
          <w:tcPr>
            <w:tcW w:w="6651" w:type="dxa"/>
            <w:gridSpan w:val="1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9391" w:type="dxa"/>
            <w:gridSpan w:val="2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19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.0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.202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4թ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</w:tr>
      <w:tr>
        <w:trPr>
          <w:trHeight w:val="92" w:hRule="auto"/>
          <w:jc w:val="left"/>
        </w:trPr>
        <w:tc>
          <w:tcPr>
            <w:tcW w:w="6651" w:type="dxa"/>
            <w:gridSpan w:val="17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Անգործության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ժամկետ</w:t>
            </w:r>
          </w:p>
        </w:tc>
        <w:tc>
          <w:tcPr>
            <w:tcW w:w="5019" w:type="dxa"/>
            <w:gridSpan w:val="1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        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Անգործության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ժամկետի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սկիզբ</w:t>
            </w:r>
          </w:p>
        </w:tc>
        <w:tc>
          <w:tcPr>
            <w:tcW w:w="4372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       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Անգործության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ժամկետի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ավարտ</w:t>
            </w:r>
          </w:p>
        </w:tc>
      </w:tr>
      <w:tr>
        <w:trPr>
          <w:trHeight w:val="92" w:hRule="auto"/>
          <w:jc w:val="left"/>
        </w:trPr>
        <w:tc>
          <w:tcPr>
            <w:tcW w:w="6651" w:type="dxa"/>
            <w:gridSpan w:val="17"/>
            <w:vMerge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019" w:type="dxa"/>
            <w:gridSpan w:val="1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  <w:tc>
          <w:tcPr>
            <w:tcW w:w="4372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</w:tr>
      <w:tr>
        <w:trPr>
          <w:trHeight w:val="158" w:hRule="auto"/>
          <w:jc w:val="left"/>
        </w:trPr>
        <w:tc>
          <w:tcPr>
            <w:tcW w:w="16042" w:type="dxa"/>
            <w:gridSpan w:val="37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պայմանագիր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կնքելու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առաջարկի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ծանուցման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–16.02.2023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</w:tr>
      <w:tr>
        <w:trPr>
          <w:trHeight w:val="405" w:hRule="auto"/>
          <w:jc w:val="left"/>
        </w:trPr>
        <w:tc>
          <w:tcPr>
            <w:tcW w:w="6651" w:type="dxa"/>
            <w:gridSpan w:val="1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կողմից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ստորագրված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պայմանագիրը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պատվիրատուի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մոտ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մուտքագրվելու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9391" w:type="dxa"/>
            <w:gridSpan w:val="2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22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.0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.202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4թ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</w:tr>
      <w:tr>
        <w:trPr>
          <w:trHeight w:val="200" w:hRule="auto"/>
          <w:jc w:val="left"/>
        </w:trPr>
        <w:tc>
          <w:tcPr>
            <w:tcW w:w="6651" w:type="dxa"/>
            <w:gridSpan w:val="1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Պատվիրատուի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կողմից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ստորագրման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9391" w:type="dxa"/>
            <w:gridSpan w:val="2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22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.0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.202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4թ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</w:tr>
      <w:tr>
        <w:trPr>
          <w:trHeight w:val="288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4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բաժնի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համարը</w:t>
            </w:r>
          </w:p>
        </w:tc>
        <w:tc>
          <w:tcPr>
            <w:tcW w:w="1547" w:type="dxa"/>
            <w:gridSpan w:val="3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մասնակիցը</w:t>
            </w:r>
          </w:p>
        </w:tc>
        <w:tc>
          <w:tcPr>
            <w:tcW w:w="13681" w:type="dxa"/>
            <w:gridSpan w:val="3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Պայմանագրի</w:t>
            </w:r>
          </w:p>
        </w:tc>
      </w:tr>
      <w:tr>
        <w:trPr>
          <w:trHeight w:val="237" w:hRule="auto"/>
          <w:jc w:val="left"/>
        </w:trPr>
        <w:tc>
          <w:tcPr>
            <w:tcW w:w="814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547" w:type="dxa"/>
            <w:gridSpan w:val="3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017" w:type="dxa"/>
            <w:gridSpan w:val="10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համարը</w:t>
            </w:r>
          </w:p>
        </w:tc>
        <w:tc>
          <w:tcPr>
            <w:tcW w:w="2096" w:type="dxa"/>
            <w:gridSpan w:val="5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Կնքման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2501" w:type="dxa"/>
            <w:gridSpan w:val="6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Կատարման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վերջնա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ժամկետը</w:t>
            </w:r>
          </w:p>
        </w:tc>
        <w:tc>
          <w:tcPr>
            <w:tcW w:w="1305" w:type="dxa"/>
            <w:gridSpan w:val="4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Կանխա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վճարի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չափը</w:t>
            </w:r>
          </w:p>
        </w:tc>
        <w:tc>
          <w:tcPr>
            <w:tcW w:w="4762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Գինը</w:t>
            </w:r>
          </w:p>
        </w:tc>
      </w:tr>
      <w:tr>
        <w:trPr>
          <w:trHeight w:val="238" w:hRule="auto"/>
          <w:jc w:val="left"/>
        </w:trPr>
        <w:tc>
          <w:tcPr>
            <w:tcW w:w="814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547" w:type="dxa"/>
            <w:gridSpan w:val="3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017" w:type="dxa"/>
            <w:gridSpan w:val="10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096" w:type="dxa"/>
            <w:gridSpan w:val="5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501" w:type="dxa"/>
            <w:gridSpan w:val="6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305" w:type="dxa"/>
            <w:gridSpan w:val="4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762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դրամ</w:t>
            </w:r>
          </w:p>
        </w:tc>
      </w:tr>
      <w:tr>
        <w:trPr>
          <w:trHeight w:val="263" w:hRule="auto"/>
          <w:jc w:val="left"/>
        </w:trPr>
        <w:tc>
          <w:tcPr>
            <w:tcW w:w="814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547" w:type="dxa"/>
            <w:gridSpan w:val="3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017" w:type="dxa"/>
            <w:gridSpan w:val="10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096" w:type="dxa"/>
            <w:gridSpan w:val="5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501" w:type="dxa"/>
            <w:gridSpan w:val="6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305" w:type="dxa"/>
            <w:gridSpan w:val="4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86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Առկա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ֆինանսական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միջոցներով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</w:p>
        </w:tc>
        <w:tc>
          <w:tcPr>
            <w:tcW w:w="2076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Ընդհանուր</w:t>
            </w:r>
          </w:p>
        </w:tc>
      </w:tr>
      <w:tr>
        <w:trPr>
          <w:trHeight w:val="146" w:hRule="auto"/>
          <w:jc w:val="left"/>
        </w:trPr>
        <w:tc>
          <w:tcPr>
            <w:tcW w:w="8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1547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576" w:hanging="576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Մարտունու</w:t>
            </w:r>
          </w:p>
          <w:p>
            <w:pPr>
              <w:spacing w:before="0" w:after="0" w:line="240"/>
              <w:ind w:right="0" w:left="576" w:hanging="576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ԲՈՒԱՏ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ԲԲԸ</w:t>
            </w:r>
          </w:p>
        </w:tc>
        <w:tc>
          <w:tcPr>
            <w:tcW w:w="3017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ԳՄՄՀ-ԳՀԾՁԲ-24/02</w:t>
            </w:r>
          </w:p>
        </w:tc>
        <w:tc>
          <w:tcPr>
            <w:tcW w:w="2096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16.02.2023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  <w:tc>
          <w:tcPr>
            <w:tcW w:w="2501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25.12.202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4թ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  <w:tc>
          <w:tcPr>
            <w:tcW w:w="130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  <w:tc>
          <w:tcPr>
            <w:tcW w:w="2686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3</w:t>
            </w: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000 000</w:t>
            </w:r>
          </w:p>
        </w:tc>
        <w:tc>
          <w:tcPr>
            <w:tcW w:w="2076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3</w:t>
            </w: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000 000</w:t>
            </w:r>
          </w:p>
        </w:tc>
      </w:tr>
      <w:tr>
        <w:trPr>
          <w:trHeight w:val="150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մասնակիցների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անվանումը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հասցեն</w:t>
            </w:r>
          </w:p>
        </w:tc>
      </w:tr>
      <w:tr>
        <w:trPr>
          <w:trHeight w:val="125" w:hRule="auto"/>
          <w:jc w:val="left"/>
        </w:trPr>
        <w:tc>
          <w:tcPr>
            <w:tcW w:w="8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բաժնի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համարը</w:t>
            </w:r>
          </w:p>
        </w:tc>
        <w:tc>
          <w:tcPr>
            <w:tcW w:w="2071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մասնակիցը</w:t>
            </w:r>
          </w:p>
        </w:tc>
        <w:tc>
          <w:tcPr>
            <w:tcW w:w="4241" w:type="dxa"/>
            <w:gridSpan w:val="1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Հասցե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հեռ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  <w:tc>
          <w:tcPr>
            <w:tcW w:w="3769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Էլ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փոստ</w:t>
            </w:r>
          </w:p>
        </w:tc>
        <w:tc>
          <w:tcPr>
            <w:tcW w:w="3496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Բանկային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հաշիվը</w:t>
            </w:r>
          </w:p>
        </w:tc>
        <w:tc>
          <w:tcPr>
            <w:tcW w:w="165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ՀՎՀՀ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/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Անձնագրի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սերիան</w:t>
            </w:r>
          </w:p>
        </w:tc>
      </w:tr>
      <w:tr>
        <w:trPr>
          <w:trHeight w:val="155" w:hRule="auto"/>
          <w:jc w:val="left"/>
        </w:trPr>
        <w:tc>
          <w:tcPr>
            <w:tcW w:w="8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2071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576" w:hanging="576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Մարտունու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ԲՈՒԱՏ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ԲԲԸ</w:t>
            </w:r>
          </w:p>
        </w:tc>
        <w:tc>
          <w:tcPr>
            <w:tcW w:w="4241" w:type="dxa"/>
            <w:gridSpan w:val="1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576" w:hanging="576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ք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.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Մարտունի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Մյասնիկյան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 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769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576" w:hanging="576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Martunu_buat@mail.ru</w:t>
            </w:r>
          </w:p>
        </w:tc>
        <w:tc>
          <w:tcPr>
            <w:tcW w:w="3496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2476601311340000</w:t>
            </w:r>
          </w:p>
        </w:tc>
        <w:tc>
          <w:tcPr>
            <w:tcW w:w="165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08200061</w:t>
            </w:r>
          </w:p>
        </w:tc>
      </w:tr>
      <w:tr>
        <w:trPr>
          <w:trHeight w:val="288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00" w:hRule="auto"/>
          <w:jc w:val="left"/>
        </w:trPr>
        <w:tc>
          <w:tcPr>
            <w:tcW w:w="3199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Այլ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տեղեկություններ</w:t>
            </w:r>
          </w:p>
        </w:tc>
        <w:tc>
          <w:tcPr>
            <w:tcW w:w="12843" w:type="dxa"/>
            <w:gridSpan w:val="3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Ծանոթություն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Որևէ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չափաբաժնի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չկայացման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դեպքում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պատվիրատուն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պարտավոր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լրացնել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տեղեկություններ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չկայացման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վերաբերյալ։</w:t>
            </w:r>
          </w:p>
        </w:tc>
      </w:tr>
      <w:tr>
        <w:trPr>
          <w:trHeight w:val="288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475" w:hRule="auto"/>
          <w:jc w:val="left"/>
        </w:trPr>
        <w:tc>
          <w:tcPr>
            <w:tcW w:w="3802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Մասնակիցների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ներգրավման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նպատակով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&lt;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Գնումների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&gt;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օրենքի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համաձայն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իրականացված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հրապարակումների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տեղեկությունները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</w:p>
        </w:tc>
        <w:tc>
          <w:tcPr>
            <w:tcW w:w="12240" w:type="dxa"/>
            <w:gridSpan w:val="2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Ընթացակարգի հայտարարությունը և հրավերը  հրապարակվել է gnumner.am կայքում</w:t>
            </w:r>
          </w:p>
        </w:tc>
      </w:tr>
      <w:tr>
        <w:trPr>
          <w:trHeight w:val="288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27" w:hRule="auto"/>
          <w:jc w:val="left"/>
        </w:trPr>
        <w:tc>
          <w:tcPr>
            <w:tcW w:w="3802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գործընթացի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շրջանակներում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հակաօրինական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գործողություններ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հայտնաբերվելու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դեպքում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դրանց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այդ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կապակցությամբ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ձեռնարկված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գործողությունների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համառոտ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նկարագիրը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</w:p>
        </w:tc>
        <w:tc>
          <w:tcPr>
            <w:tcW w:w="12240" w:type="dxa"/>
            <w:gridSpan w:val="2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Գնման գործընթացի շրջանակներում հակաօրինական գործողություններ չեն հայտնաբերվել</w:t>
            </w:r>
          </w:p>
        </w:tc>
      </w:tr>
      <w:tr>
        <w:trPr>
          <w:trHeight w:val="288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427" w:hRule="auto"/>
          <w:jc w:val="left"/>
        </w:trPr>
        <w:tc>
          <w:tcPr>
            <w:tcW w:w="3802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ընթացակարգի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վերաբերյալ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ներկայացված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բողոքները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դրանց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վերաբերյալ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կայացված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որոշումները</w:t>
            </w:r>
          </w:p>
        </w:tc>
        <w:tc>
          <w:tcPr>
            <w:tcW w:w="12240" w:type="dxa"/>
            <w:gridSpan w:val="2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Գնման գործնթացի վերաբերյալ բողոք չի ներկայացվել</w:t>
            </w:r>
          </w:p>
        </w:tc>
      </w:tr>
      <w:tr>
        <w:trPr>
          <w:trHeight w:val="288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3199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Այլ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անհրաժեշտ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տեղեկություններ</w:t>
            </w:r>
          </w:p>
        </w:tc>
        <w:tc>
          <w:tcPr>
            <w:tcW w:w="12843" w:type="dxa"/>
            <w:gridSpan w:val="3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Գնումն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իրականացվել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«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Գնումների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»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օրենքի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15-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րդ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հոդվածի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6-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րդ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հիման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վրա</w:t>
            </w:r>
          </w:p>
        </w:tc>
      </w:tr>
      <w:tr>
        <w:trPr>
          <w:trHeight w:val="288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27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Սույն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հայտարարության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հետ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կապված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լրացուցիչ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տեղեկություններ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ստանալու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կարող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եք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դիմել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գնումների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համակարգող</w:t>
            </w:r>
          </w:p>
        </w:tc>
      </w:tr>
      <w:tr>
        <w:trPr>
          <w:trHeight w:val="47" w:hRule="auto"/>
          <w:jc w:val="left"/>
        </w:trPr>
        <w:tc>
          <w:tcPr>
            <w:tcW w:w="4092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Անուն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,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Ազգանուն</w:t>
            </w:r>
          </w:p>
        </w:tc>
        <w:tc>
          <w:tcPr>
            <w:tcW w:w="6258" w:type="dxa"/>
            <w:gridSpan w:val="1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Հեռախոս</w:t>
            </w:r>
          </w:p>
        </w:tc>
        <w:tc>
          <w:tcPr>
            <w:tcW w:w="5692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Էլ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.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փոստի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հասցեն</w:t>
            </w:r>
          </w:p>
        </w:tc>
      </w:tr>
      <w:tr>
        <w:trPr>
          <w:trHeight w:val="47" w:hRule="auto"/>
          <w:jc w:val="left"/>
        </w:trPr>
        <w:tc>
          <w:tcPr>
            <w:tcW w:w="4092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Էդվին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Գրիգորյան</w:t>
            </w:r>
          </w:p>
        </w:tc>
        <w:tc>
          <w:tcPr>
            <w:tcW w:w="6258" w:type="dxa"/>
            <w:gridSpan w:val="1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+37477270194</w:t>
            </w:r>
          </w:p>
        </w:tc>
        <w:tc>
          <w:tcPr>
            <w:tcW w:w="5692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6"/>
                <w:shd w:fill="FFFFFF" w:val="clear"/>
              </w:rPr>
              <w:t xml:space="preserve">Martunignum@mail.ru</w:t>
            </w:r>
          </w:p>
        </w:tc>
      </w:tr>
    </w:tbl>
    <w:p>
      <w:pPr>
        <w:spacing w:before="0" w:after="0" w:line="360"/>
        <w:ind w:right="0" w:left="576" w:hanging="576"/>
        <w:jc w:val="lef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60"/>
        <w:ind w:right="0" w:left="576" w:hanging="576"/>
        <w:jc w:val="lef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Պատվիրատու՝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Մարտունու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համայնքապետարան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