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10" w:rsidRPr="00116410" w:rsidRDefault="00116410" w:rsidP="0011641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16410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16410" w:rsidRPr="00116410" w:rsidRDefault="00116410" w:rsidP="0011641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16410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16410" w:rsidRPr="00116410" w:rsidRDefault="00116410" w:rsidP="00116410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116410" w:rsidRPr="00116410" w:rsidRDefault="00116410" w:rsidP="0011641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11641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116410">
        <w:rPr>
          <w:rFonts w:ascii="GHEA Grapalat" w:hAnsi="GHEA Grapalat" w:cs="Sylfaen"/>
          <w:b w:val="0"/>
          <w:sz w:val="16"/>
          <w:szCs w:val="16"/>
        </w:rPr>
        <w:t>ՀԱՊԱԿ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116410">
        <w:rPr>
          <w:rFonts w:ascii="GHEA Grapalat" w:hAnsi="GHEA Grapalat" w:cs="Sylfaen"/>
          <w:b w:val="0"/>
          <w:sz w:val="16"/>
          <w:szCs w:val="16"/>
        </w:rPr>
        <w:t>ԳՀԱՊՁԲ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-19/2        </w:t>
      </w:r>
    </w:p>
    <w:p w:rsidR="00116410" w:rsidRPr="00116410" w:rsidRDefault="00116410" w:rsidP="00116410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0" w:name="OLE_LINK5"/>
      <w:bookmarkStart w:id="1" w:name="OLE_LINK6"/>
      <w:bookmarkStart w:id="2" w:name="OLE_LINK11"/>
      <w:bookmarkStart w:id="3" w:name="OLE_LINK191"/>
      <w:bookmarkStart w:id="4" w:name="OLE_LINK192"/>
      <w:r w:rsidRPr="00116410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116410">
        <w:rPr>
          <w:rFonts w:ascii="GHEA Grapalat" w:hAnsi="GHEA Grapalat"/>
          <w:b w:val="0"/>
          <w:sz w:val="16"/>
          <w:szCs w:val="16"/>
        </w:rPr>
        <w:t>ՀՈԳԵԿԱՆ</w:t>
      </w:r>
      <w:r w:rsidRPr="00116410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/>
          <w:b w:val="0"/>
          <w:sz w:val="16"/>
          <w:szCs w:val="16"/>
        </w:rPr>
        <w:t>ԱՌՈՂՋՈՒԹՅԱՆ</w:t>
      </w:r>
      <w:r w:rsidRPr="00116410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/>
          <w:b w:val="0"/>
          <w:sz w:val="16"/>
          <w:szCs w:val="16"/>
        </w:rPr>
        <w:t>ՊԱՀՊԱՆՄԱՆ</w:t>
      </w:r>
      <w:r w:rsidRPr="00116410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/>
          <w:b w:val="0"/>
          <w:sz w:val="16"/>
          <w:szCs w:val="16"/>
        </w:rPr>
        <w:t>ԱԶԳԱՅԻՆ</w:t>
      </w:r>
      <w:r w:rsidRPr="00116410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/>
          <w:b w:val="0"/>
          <w:sz w:val="16"/>
          <w:szCs w:val="16"/>
        </w:rPr>
        <w:t>ԿԵՆՏՐՈՆ</w:t>
      </w:r>
      <w:r w:rsidRPr="00116410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0"/>
      <w:bookmarkEnd w:id="1"/>
      <w:bookmarkEnd w:id="2"/>
      <w:bookmarkEnd w:id="3"/>
      <w:bookmarkEnd w:id="4"/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116410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3274D7">
        <w:rPr>
          <w:rFonts w:ascii="GHEA Grapalat" w:hAnsi="GHEA Grapalat" w:cs="Sylfaen"/>
          <w:b w:val="0"/>
          <w:sz w:val="16"/>
          <w:szCs w:val="16"/>
          <w:lang w:val="af-ZA"/>
        </w:rPr>
        <w:t>Դեղորայքի</w:t>
      </w:r>
      <w:r w:rsidR="003274D7" w:rsidRPr="00116410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ձեռքբերման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</w:rPr>
        <w:t>ՀԱՊԱԿ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116410">
        <w:rPr>
          <w:rFonts w:ascii="GHEA Grapalat" w:hAnsi="GHEA Grapalat" w:cs="Sylfaen"/>
          <w:b w:val="0"/>
          <w:sz w:val="16"/>
          <w:szCs w:val="16"/>
        </w:rPr>
        <w:t>ԳՀԱՊՁԲ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-19/2 ծածկագրով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116410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16410" w:rsidRPr="00116410" w:rsidRDefault="00116410" w:rsidP="0011641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</w:rPr>
        <w:t>հունիսի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E256E5">
        <w:rPr>
          <w:rFonts w:ascii="GHEA Grapalat" w:hAnsi="GHEA Grapalat" w:cs="Courier Unicode"/>
          <w:sz w:val="16"/>
          <w:szCs w:val="16"/>
          <w:lang w:val="af-ZA"/>
        </w:rPr>
        <w:t>20</w:t>
      </w:r>
      <w:bookmarkStart w:id="5" w:name="_GoBack"/>
      <w:bookmarkEnd w:id="5"/>
      <w:r w:rsidRPr="00116410">
        <w:rPr>
          <w:rFonts w:ascii="GHEA Grapalat" w:hAnsi="GHEA Grapalat"/>
          <w:sz w:val="16"/>
          <w:szCs w:val="16"/>
          <w:lang w:val="af-ZA"/>
        </w:rPr>
        <w:t>-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116410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F27D1F" w:rsidRPr="00E256E5" w:rsidRDefault="00116410">
      <w:pPr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25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F27D1F" w:rsidRPr="00E256E5" w:rsidRDefault="00116410">
      <w:pPr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25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25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eastAsia="GHEA Grapalat" w:hAnsi="GHEA Grapalat" w:cs="GHEA Grapalat"/>
          <w:sz w:val="16"/>
          <w:szCs w:val="16"/>
        </w:rPr>
        <w:t>է</w:t>
      </w:r>
      <w:r w:rsidRPr="00E25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164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25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116410">
        <w:rPr>
          <w:rFonts w:ascii="GHEA Grapalat" w:eastAsia="GHEA Grapalat" w:hAnsi="GHEA Grapalat" w:cs="GHEA Grapalat"/>
          <w:sz w:val="16"/>
          <w:szCs w:val="16"/>
        </w:rPr>
        <w:t>Ազալեպտին</w:t>
      </w:r>
      <w:r w:rsidRPr="00E25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N50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107000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109966.667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139000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Ապաուրին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Վագա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ԱԼՖԱ-ՖԱՐՄ </w:t>
            </w: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145000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Վագա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148333.33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150833.33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153833.33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Հալոպրիլ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762416.667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770000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Ամինազին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Ամինազին 25մգ  N10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104166.667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Ռիսպերիդոն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Վագա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300000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336250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345000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Վագա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387500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3148500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Դիազեպամ 10մգ  N24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235000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239250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Լևոմեպրոմազին 25մգ  N10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74666.67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Օլանզապին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560000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582333.33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1904366.67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Կետիապ-200մգ  N 60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Ռիխտեր- Լամբրոն </w:t>
            </w: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938200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947500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999825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Բետամաքս  200մգ  N30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76916.67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78325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102783.33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Կարբամազեպին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131250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140625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Բենզոնալ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38200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39000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քլորիդ 500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Լիկվոր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Լիկվոր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110000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124166.67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250000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Ցիանոկոբալամին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22950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Պիրիդօքսին 5%  N 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6883.33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7341.67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Թիամին 5- N 10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15300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16316.67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 5-2.0  N 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20400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21758.33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 5-5.0  N 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20400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21758.33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Կոտրիմոքսազոլ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Կոտայք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16666.67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19166.67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55083.33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Դիբազոլ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61200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65275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Պապավերին հիդրոքլորիդ 2%-1մլ  N 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ԱԼՖԱ-ՖԱՐՄ </w:t>
            </w: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50916.67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52833.33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53333.333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Դիմեդրոլ  N10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17850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Նո-շպա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Վագա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13350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Վագա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13500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13747.5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39000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Օմեպրազոլ 20մգ  N 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Վագա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Վագա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20833.33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21666.667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21766.67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52150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Սենադե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20933.333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Կարդիոմագնիլ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Վագա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26158.33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26666.67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Վագա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27500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Դիմեդրոլ 0.5մգ N 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10500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10666.667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Պապավերին 20մգ 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ԱԼՖԱ-ՖԱՐՄ </w:t>
            </w: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50916.67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52833.33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Էուֆիլին N10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3322.5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31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Գնման առարկա է հանդիսանում` Ջրածնի պերօքսիդ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333.33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Չափաբաժին 32</w:t>
      </w: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Մագնեզիումի ասպարտատ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164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 Լամբրոն ՀՁ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ԱԼՖԱ-ՖԱՐՄ ԻՄՊՈՐՏ  ՓԲԸ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Ռիխտեր- Լամբրոն ՀՁ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21883.33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25733.33</w:t>
            </w:r>
          </w:p>
        </w:tc>
      </w:tr>
      <w:tr w:rsidR="00F27D1F" w:rsidRPr="00116410"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ԱԼՖԱ-ՖԱՐՄ ԻՄՊՈՐՏ  ՓԲԸ</w:t>
            </w:r>
          </w:p>
        </w:tc>
        <w:tc>
          <w:tcPr>
            <w:tcW w:w="3000" w:type="dxa"/>
            <w:vAlign w:val="center"/>
          </w:tcPr>
          <w:p w:rsidR="00F27D1F" w:rsidRPr="00116410" w:rsidRDefault="00F27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27D1F" w:rsidRPr="00116410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6410">
              <w:rPr>
                <w:rFonts w:ascii="GHEA Grapalat" w:eastAsia="GHEA Grapalat" w:hAnsi="GHEA Grapalat" w:cs="GHEA Grapalat"/>
                <w:sz w:val="16"/>
                <w:szCs w:val="16"/>
              </w:rPr>
              <w:t>26333.33</w:t>
            </w:r>
          </w:p>
        </w:tc>
      </w:tr>
    </w:tbl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116410" w:rsidRDefault="00116410">
      <w:pPr>
        <w:rPr>
          <w:rFonts w:ascii="GHEA Grapalat" w:hAnsi="GHEA Grapalat"/>
          <w:sz w:val="16"/>
          <w:szCs w:val="16"/>
        </w:rPr>
      </w:pPr>
      <w:r w:rsidRPr="00116410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27D1F" w:rsidRPr="00116410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116410" w:rsidRPr="00116410" w:rsidRDefault="00116410" w:rsidP="0011641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hAnsi="GHEA Grapalat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116410">
        <w:rPr>
          <w:rFonts w:ascii="GHEA Grapalat" w:hAnsi="GHEA Grapalat"/>
          <w:sz w:val="16"/>
          <w:szCs w:val="16"/>
        </w:rPr>
        <w:t>5</w:t>
      </w:r>
      <w:r w:rsidRPr="00116410">
        <w:rPr>
          <w:rFonts w:ascii="GHEA Grapalat" w:hAnsi="GHEA Grapalat"/>
          <w:sz w:val="16"/>
          <w:szCs w:val="16"/>
          <w:lang w:val="af-ZA"/>
        </w:rPr>
        <w:t>-րդ օրացուցային օրը ներառյալ։</w:t>
      </w:r>
    </w:p>
    <w:p w:rsidR="00116410" w:rsidRPr="00116410" w:rsidRDefault="00116410" w:rsidP="0011641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16410" w:rsidRPr="00116410" w:rsidRDefault="00116410" w:rsidP="0011641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hAnsi="GHEA Grapalat" w:cs="Sylfaen"/>
          <w:sz w:val="16"/>
          <w:szCs w:val="16"/>
        </w:rPr>
        <w:t>ՀԱՊԱԿ</w:t>
      </w:r>
      <w:r w:rsidRPr="00116410">
        <w:rPr>
          <w:rFonts w:ascii="GHEA Grapalat" w:hAnsi="GHEA Grapalat" w:cs="Sylfaen"/>
          <w:sz w:val="16"/>
          <w:szCs w:val="16"/>
          <w:lang w:val="af-ZA"/>
        </w:rPr>
        <w:t>-</w:t>
      </w:r>
      <w:r w:rsidRPr="00116410">
        <w:rPr>
          <w:rFonts w:ascii="GHEA Grapalat" w:hAnsi="GHEA Grapalat" w:cs="Sylfaen"/>
          <w:sz w:val="16"/>
          <w:szCs w:val="16"/>
        </w:rPr>
        <w:t>ԳՀԱՊՁԲ</w:t>
      </w:r>
      <w:r w:rsidRPr="00116410">
        <w:rPr>
          <w:rFonts w:ascii="GHEA Grapalat" w:hAnsi="GHEA Grapalat" w:cs="Sylfaen"/>
          <w:sz w:val="16"/>
          <w:szCs w:val="16"/>
          <w:lang w:val="af-ZA"/>
        </w:rPr>
        <w:t xml:space="preserve">-19/2        </w:t>
      </w:r>
      <w:r w:rsidRPr="0011641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16410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116410">
        <w:rPr>
          <w:rFonts w:ascii="GHEA Grapalat" w:hAnsi="GHEA Grapalat"/>
          <w:sz w:val="16"/>
          <w:szCs w:val="16"/>
        </w:rPr>
        <w:t>Է</w:t>
      </w:r>
      <w:r w:rsidRPr="00116410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16410" w:rsidRPr="00116410" w:rsidRDefault="00116410" w:rsidP="0011641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16410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116410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116410">
        <w:rPr>
          <w:rFonts w:ascii="GHEA Grapalat" w:hAnsi="GHEA Grapalat"/>
          <w:sz w:val="16"/>
          <w:szCs w:val="16"/>
          <w:lang w:val="af-ZA"/>
        </w:rPr>
        <w:t>։</w:t>
      </w:r>
    </w:p>
    <w:p w:rsidR="00116410" w:rsidRPr="00116410" w:rsidRDefault="00116410" w:rsidP="00116410">
      <w:pPr>
        <w:pStyle w:val="a5"/>
        <w:ind w:firstLine="0"/>
        <w:rPr>
          <w:i/>
          <w:sz w:val="16"/>
          <w:szCs w:val="16"/>
          <w:lang w:val="af-ZA"/>
        </w:rPr>
      </w:pPr>
      <w:r w:rsidRPr="00116410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116410">
        <w:rPr>
          <w:rFonts w:cs="Sylfaen"/>
          <w:sz w:val="16"/>
          <w:szCs w:val="16"/>
          <w:lang w:val="af-ZA"/>
        </w:rPr>
        <w:t xml:space="preserve"> </w:t>
      </w:r>
      <w:r w:rsidRPr="00116410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bookmarkEnd w:id="9"/>
    <w:bookmarkEnd w:id="10"/>
    <w:bookmarkEnd w:id="11"/>
    <w:p w:rsidR="00116410" w:rsidRPr="00116410" w:rsidRDefault="00116410" w:rsidP="00116410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F27D1F" w:rsidRPr="00116410" w:rsidRDefault="00116410" w:rsidP="00116410">
      <w:pPr>
        <w:pStyle w:val="2"/>
        <w:ind w:firstLine="567"/>
        <w:rPr>
          <w:b/>
          <w:sz w:val="16"/>
          <w:szCs w:val="16"/>
          <w:lang w:val="es-ES"/>
        </w:rPr>
      </w:pPr>
      <w:r w:rsidRPr="00116410">
        <w:rPr>
          <w:b/>
          <w:i/>
          <w:sz w:val="16"/>
          <w:szCs w:val="16"/>
          <w:lang w:val="af-ZA"/>
        </w:rPr>
        <w:t xml:space="preserve">Պատվիրատու` </w:t>
      </w:r>
      <w:r w:rsidRPr="00116410">
        <w:rPr>
          <w:b/>
          <w:sz w:val="16"/>
          <w:szCs w:val="16"/>
          <w:lang w:val="af-ZA"/>
        </w:rPr>
        <w:t>&lt;&lt;</w:t>
      </w:r>
      <w:r w:rsidRPr="00116410">
        <w:rPr>
          <w:b/>
          <w:sz w:val="16"/>
          <w:szCs w:val="16"/>
        </w:rPr>
        <w:t>ՀՈԳԵԿԱՆ</w:t>
      </w:r>
      <w:r w:rsidRPr="00116410">
        <w:rPr>
          <w:b/>
          <w:sz w:val="16"/>
          <w:szCs w:val="16"/>
          <w:lang w:val="af-ZA"/>
        </w:rPr>
        <w:t xml:space="preserve"> </w:t>
      </w:r>
      <w:r w:rsidRPr="00116410">
        <w:rPr>
          <w:b/>
          <w:sz w:val="16"/>
          <w:szCs w:val="16"/>
        </w:rPr>
        <w:t>ԱՌՈՂՋՈՒԹՅԱՆ</w:t>
      </w:r>
      <w:r w:rsidRPr="00116410">
        <w:rPr>
          <w:b/>
          <w:sz w:val="16"/>
          <w:szCs w:val="16"/>
          <w:lang w:val="af-ZA"/>
        </w:rPr>
        <w:t xml:space="preserve"> </w:t>
      </w:r>
      <w:r w:rsidRPr="00116410">
        <w:rPr>
          <w:b/>
          <w:sz w:val="16"/>
          <w:szCs w:val="16"/>
        </w:rPr>
        <w:t>ՊԱՀՊԱՆՄԱՆ</w:t>
      </w:r>
      <w:r w:rsidRPr="00116410">
        <w:rPr>
          <w:b/>
          <w:sz w:val="16"/>
          <w:szCs w:val="16"/>
          <w:lang w:val="af-ZA"/>
        </w:rPr>
        <w:t xml:space="preserve"> </w:t>
      </w:r>
      <w:r w:rsidRPr="00116410">
        <w:rPr>
          <w:b/>
          <w:sz w:val="16"/>
          <w:szCs w:val="16"/>
        </w:rPr>
        <w:t>ԱԶԳԱՅԻՆ</w:t>
      </w:r>
      <w:r w:rsidRPr="00116410">
        <w:rPr>
          <w:b/>
          <w:sz w:val="16"/>
          <w:szCs w:val="16"/>
          <w:lang w:val="af-ZA"/>
        </w:rPr>
        <w:t xml:space="preserve"> </w:t>
      </w:r>
      <w:r w:rsidRPr="00116410">
        <w:rPr>
          <w:b/>
          <w:sz w:val="16"/>
          <w:szCs w:val="16"/>
        </w:rPr>
        <w:t>ԿԵՆՏՐՈՆ</w:t>
      </w:r>
      <w:r w:rsidRPr="00116410">
        <w:rPr>
          <w:b/>
          <w:sz w:val="16"/>
          <w:szCs w:val="16"/>
          <w:lang w:val="af-ZA"/>
        </w:rPr>
        <w:t>&gt;&gt; ՓԲԸ</w:t>
      </w:r>
    </w:p>
    <w:sectPr w:rsidR="00F27D1F" w:rsidRPr="0011641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7D1F"/>
    <w:rsid w:val="00116410"/>
    <w:rsid w:val="003274D7"/>
    <w:rsid w:val="00E256E5"/>
    <w:rsid w:val="00F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FFCD1-88A0-4AA4-9E52-5213E13D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1641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16410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16410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16410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1641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16410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3591</Words>
  <Characters>20473</Characters>
  <Application>Microsoft Office Word</Application>
  <DocSecurity>0</DocSecurity>
  <Lines>170</Lines>
  <Paragraphs>48</Paragraphs>
  <ScaleCrop>false</ScaleCrop>
  <Manager/>
  <Company/>
  <LinksUpToDate>false</LinksUpToDate>
  <CharactersWithSpaces>24016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2019-06-20T14:20:00Z</dcterms:created>
  <dcterms:modified xsi:type="dcterms:W3CDTF">2019-06-20T15:29:00Z</dcterms:modified>
  <cp:category/>
</cp:coreProperties>
</file>