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46" w:rsidRPr="00B22212" w:rsidRDefault="00E10346" w:rsidP="00E1034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zCs w:val="24"/>
          <w:lang w:val="hy-AM"/>
        </w:rPr>
        <w:t>ՀԱՅՏԵՐԻ</w:t>
      </w:r>
      <w:r w:rsidRPr="001B0F8A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B22212">
        <w:rPr>
          <w:rFonts w:ascii="GHEA Grapalat" w:hAnsi="GHEA Grapalat" w:cs="Sylfaen"/>
          <w:b/>
          <w:bCs/>
          <w:szCs w:val="24"/>
          <w:lang w:val="hy-AM"/>
        </w:rPr>
        <w:t>ՆԵՐԿԱՅԱՑՄԱՆ</w:t>
      </w:r>
      <w:r w:rsidRPr="001B0F8A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B22212">
        <w:rPr>
          <w:rFonts w:ascii="GHEA Grapalat" w:hAnsi="GHEA Grapalat" w:cs="Sylfaen"/>
          <w:b/>
          <w:bCs/>
          <w:szCs w:val="24"/>
          <w:lang w:val="hy-AM"/>
        </w:rPr>
        <w:t>ՀՐԱՎԵՐ</w:t>
      </w:r>
      <w:r w:rsidRPr="00B22212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B22212">
        <w:rPr>
          <w:rFonts w:ascii="GHEA Grapalat" w:hAnsi="GHEA Grapalat"/>
          <w:b/>
          <w:bCs/>
          <w:szCs w:val="24"/>
          <w:lang w:val="hy-AM"/>
        </w:rPr>
        <w:t>)</w:t>
      </w:r>
    </w:p>
    <w:p w:rsidR="00E10346" w:rsidRPr="00B22212" w:rsidRDefault="00E10346" w:rsidP="00E1034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</w:t>
      </w:r>
      <w:r w:rsidRPr="001B0F8A">
        <w:rPr>
          <w:rFonts w:ascii="GHEA Grapalat" w:hAnsi="GHEA Grapalat" w:cs="Sylfaen"/>
          <w:b/>
          <w:bCs/>
          <w:spacing w:val="-2"/>
          <w:szCs w:val="24"/>
          <w:lang w:val="hy-AM"/>
        </w:rPr>
        <w:t xml:space="preserve"> </w:t>
      </w: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Հանրապետություն</w:t>
      </w:r>
    </w:p>
    <w:p w:rsidR="00E10346" w:rsidRPr="00B22212" w:rsidRDefault="00E10346" w:rsidP="00E1034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22212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E10346" w:rsidRPr="00B22212" w:rsidRDefault="00E10346" w:rsidP="00E10346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E10346" w:rsidRPr="00B22212" w:rsidRDefault="00E10346" w:rsidP="00E10346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E10346" w:rsidRPr="008D59BD" w:rsidRDefault="00E10346" w:rsidP="00E10346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E10346" w:rsidRPr="008D59BD" w:rsidRDefault="00E10346" w:rsidP="00E10346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E10346" w:rsidRPr="006115F4" w:rsidRDefault="00E10346" w:rsidP="00E10346">
      <w:pPr>
        <w:jc w:val="center"/>
        <w:rPr>
          <w:rStyle w:val="Emphasis"/>
          <w:rFonts w:ascii="GHEA Grapalat" w:hAnsi="GHEA Grapalat" w:cs="Sylfaen"/>
          <w:b/>
          <w:i w:val="0"/>
          <w:sz w:val="28"/>
          <w:szCs w:val="28"/>
          <w:lang w:val="hy-AM"/>
        </w:rPr>
      </w:pPr>
      <w:r w:rsidRPr="006115F4">
        <w:rPr>
          <w:rStyle w:val="Emphasis"/>
          <w:rFonts w:ascii="GHEA Grapalat" w:hAnsi="GHEA Grapalat" w:cs="Sylfaen"/>
          <w:b/>
          <w:i w:val="0"/>
          <w:sz w:val="28"/>
          <w:szCs w:val="28"/>
          <w:lang w:val="hy-AM"/>
        </w:rPr>
        <w:t>ՀԱՅԱՍՏԱՆԻ ՀԱՆՐԱՊԵՏՈՒԹՅԱՆ ԳԵՂԱՐՔՈՒՆԻՔԻ ՄԱՐԶԻ ԼՃԱՇԵՆ, ՎԱՐՍԵՐ, Ք.ՄԱՐՏՈՒՆԻ, ՇԱՏՎԱՆ,</w:t>
      </w:r>
      <w:r w:rsidRPr="00B83E21">
        <w:rPr>
          <w:rStyle w:val="Emphasis"/>
          <w:rFonts w:ascii="GHEA Grapalat" w:hAnsi="GHEA Grapalat" w:cs="Sylfaen"/>
          <w:b/>
          <w:i w:val="0"/>
          <w:sz w:val="28"/>
          <w:szCs w:val="28"/>
          <w:lang w:val="hy-AM"/>
        </w:rPr>
        <w:t xml:space="preserve"> ՎԱՀԱՆ,</w:t>
      </w:r>
      <w:r w:rsidRPr="006115F4">
        <w:rPr>
          <w:rStyle w:val="Emphasis"/>
          <w:rFonts w:ascii="GHEA Grapalat" w:hAnsi="GHEA Grapalat" w:cs="Sylfaen"/>
          <w:b/>
          <w:i w:val="0"/>
          <w:sz w:val="28"/>
          <w:szCs w:val="28"/>
          <w:lang w:val="hy-AM"/>
        </w:rPr>
        <w:t xml:space="preserve"> ԱՅԳՈՒՏ, ՎԱՐԴԵՆԻԿ, ԱՐԱԳԱԾՈՏՆԻ ՄԱՐԶԻ ԵՐՆՋԱՏԱՓ, ՍՅՈՒՆԻՔԻ ՄԱՐԶԻ ԿՈՌՆԻՁՈՐ, ՈՐՈՏԱՆ, Ն.ԽՆՁՈՐԵՍԿ, ՏԱՇՏՈՒՆ, ՎԱՅՈՑ ՁՈՐԻ ՄԱՐԶԻ ՎԵՐՆԱՇԵՆ, ՏԱՎՈՒՇԻ ՄԱՐԶԻ ԴԻՏԱՎԱՆ ՀԱՄԱՅՆՔՆԵՐԻ ԱՐՈՏՕԳՏԱԳՈՐԾՈՂՆԵՐԻ ՍՊԱՌՈՂԱԿԱՆ ԿՈՈՊԵՐԱՏԻՎԻ ԿԱՐԻՔՆԵՐԻ ՀԱՄԱՐ ԳՅՈՒՂԱՏՆՏԵՍԱԿԱՆ ՏԵԽՆԻԿԱՅԻ ՁԵՌՔԲԵՐՈՒՄ</w:t>
      </w:r>
    </w:p>
    <w:p w:rsidR="00E10346" w:rsidRPr="00A246FD" w:rsidRDefault="00E10346" w:rsidP="00E10346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E10346" w:rsidRPr="001B0F8A" w:rsidRDefault="00E10346" w:rsidP="00E10346">
      <w:pPr>
        <w:jc w:val="center"/>
        <w:rPr>
          <w:rFonts w:ascii="GHEA Grapalat" w:hAnsi="GHEA Grapalat"/>
          <w:sz w:val="32"/>
          <w:szCs w:val="32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r>
        <w:rPr>
          <w:rFonts w:ascii="GHEA Grapalat" w:hAnsi="GHEA Grapalat"/>
          <w:sz w:val="32"/>
          <w:szCs w:val="32"/>
        </w:rPr>
        <w:t>CARMAC2-CP-NCB-J-18-61</w:t>
      </w:r>
    </w:p>
    <w:p w:rsidR="00E10346" w:rsidRPr="00A246FD" w:rsidRDefault="00E10346" w:rsidP="00E1034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</w:t>
      </w:r>
      <w:r w:rsidRPr="007140E8">
        <w:rPr>
          <w:rFonts w:ascii="GHEA Grapalat" w:hAnsi="GHEA Grapalat" w:cs="Sylfaen"/>
          <w:color w:val="000000"/>
          <w:spacing w:val="-2"/>
          <w:szCs w:val="24"/>
          <w:lang w:val="hy-AM"/>
        </w:rPr>
        <w:t>&lt;&lt;</w:t>
      </w:r>
      <w:r w:rsidRPr="007140E8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ՀԱՅԱՍՏԱՆԻ ՀԱՆՐԱՊԵՏՈՒԹՅԱՆ ԳԵՂԱՐՔՈՒՆԻՔԻ ՄԱՐԶԻ ԼՃԱՇԵՆ, ՎԱՐՍԵՐ,</w:t>
      </w:r>
      <w:r w:rsidRPr="00B83E21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 ՎԱՀԱՆ,</w:t>
      </w:r>
      <w:r w:rsidRPr="007140E8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 Ք.ՄԱՐՏՈՒՆԻ, ՇԱՏՎԱՆ, ԱՅԳՈՒՏ, ՎԱՐԴԵՆԻԿ, ԱՐԱԳԱԾՈՏՆԻ ՄԱՐԶԻ ԵՐՆՋԱՏԱՓ, ՍՅՈՒՆԻՔԻ ՄԱՐԶԻ ԿՈՌՆԻՁՈՐ, ՈՐՈՏԱՆ, Ն.ԽՆՁՈՐԵՍԿ, ՏԱՇՏՈՒՆ, ՎԱՅՈՑ ՁՈՐԻ ՄԱՐԶԻ ՎԵՐՆԱՇԵՆ, ՏԱՎՈՒՇԻ ՄԱՐԶԻ ԴԻՏԱՎԱՆ ՀԱՄԱՅՆՔՆԵՐԻ ԱՐՈՏՕԳՏԱԳՈՐԾՈՂՆԵՐԻ ՍՊԱՌՈՂԱԿԱՆ ԿՈՈՊԵՐԱՏԻՎԻ ԿԱՐԻՔՆԵՐԻ ՀԱՄԱՐ ԳՅՈՒՂԱՏՆՏԵՍԱԿԱՆ ՏԵԽՆԻԿԱՅԻ ՁԵՌՔԲԵՐՈՒՄ&gt;&gt;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C2-CP-NCB-J-18-</w:t>
      </w:r>
      <w:r w:rsidRPr="006115F4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61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</w:t>
      </w:r>
      <w:r w:rsidRPr="007140E8">
        <w:rPr>
          <w:rFonts w:ascii="GHEA Grapalat" w:hAnsi="GHEA Grapalat" w:cs="Sylfaen"/>
          <w:color w:val="000000"/>
          <w:spacing w:val="-2"/>
          <w:szCs w:val="24"/>
          <w:lang w:val="hy-AM"/>
        </w:rPr>
        <w:t>&lt;&lt;</w:t>
      </w:r>
      <w:r w:rsidRPr="007140E8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ՀԱՅԱՍՏԱՆԻ ՀԱՆՐԱՊԵՏՈՒԹՅԱՆ ԳԵՂԱՐՔՈՒՆԻՔԻ ՄԱՐԶԻ ԼՃԱՇԵՆ, ՎԱՐՍԵՐ,</w:t>
      </w:r>
      <w:r w:rsidRPr="00B83E21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 ՎԱՀԱՆ,</w:t>
      </w:r>
      <w:r w:rsidRPr="007140E8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 Ք.ՄԱՐՏՈՒՆԻ, ՇԱՏՎԱՆ, ԱՅԳՈՒՏ, ՎԱՐԴԵՆԻԿ, ԱՐԱԳԱԾՈՏՆԻ ՄԱՐԶԻ ԵՐՆՋԱՏԱՓ, </w:t>
      </w:r>
      <w:r w:rsidRPr="007140E8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lastRenderedPageBreak/>
        <w:t>ՍՅՈՒՆԻՔԻ ՄԱՐԶԻ ԿՈՌՆԻՁՈՐ, ՈՐՈՏԱՆ, Ն.ԽՆՁՈՐԵՍԿ, ՏԱՇՏՈՒՆ, ՎԱՅՈՑ ՁՈՐԻ ՄԱՐԶԻ ՎԵՐՆԱՇԵՆ, ՏԱՎՈՒՇԻ ՄԱՐԶԻ ԴԻՏԱՎԱՆ ՀԱՄԱՅՆՔՆԵՐԻ ԱՐՈՏՕԳՏԱԳՈՐԾՈՂՆԵՐԻ ՍՊԱՌՈՂԱԿԱՆ ԿՈՈՊԵՐԱՏԻՎԻ ԿԱՐԻՔՆԵՐԻ ՀԱՄԱՐ ԳՅՈՒՂԱՏՆՏԵՍԱԿԱՆ ՏԵԽՆԻԿԱՅԻ ՁԵՌՔԲԵՐՈՒՄ&gt;&gt;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bookmarkStart w:id="0" w:name="_GoBack"/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</w:t>
      </w:r>
      <w:r w:rsidRPr="006115F4">
        <w:rPr>
          <w:rFonts w:ascii="GHEA Grapalat" w:hAnsi="GHEA Grapalat" w:cs="Times Armenian"/>
          <w:color w:val="000000"/>
          <w:spacing w:val="-2"/>
          <w:szCs w:val="24"/>
          <w:lang w:val="hy-AM"/>
        </w:rPr>
        <w:t>61</w:t>
      </w:r>
      <w:bookmarkEnd w:id="0"/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E10346" w:rsidRPr="00BD381A" w:rsidRDefault="00E10346" w:rsidP="00E10346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5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8B4912">
        <w:rPr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6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7140E8">
        <w:rPr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Հոկտեմբերի 5-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,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15:00-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BD381A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BD381A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484996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7.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E10346" w:rsidRPr="00484996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A669B7" w:rsidRDefault="00E10346" w:rsidP="00E10346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A669B7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A669B7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E10346" w:rsidRPr="00A669B7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E10346" w:rsidRPr="00A669B7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A669B7" w:rsidRDefault="00E10346" w:rsidP="00E10346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E10346" w:rsidRPr="00A669B7" w:rsidRDefault="00E10346" w:rsidP="00E10346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A669B7" w:rsidRDefault="00E10346" w:rsidP="00E10346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E10346" w:rsidRPr="00A669B7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E10346" w:rsidRPr="00A669B7" w:rsidRDefault="00E10346" w:rsidP="00E10346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lastRenderedPageBreak/>
        <w:t>(</w:t>
      </w:r>
      <w:r w:rsidRPr="00A669B7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A669B7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A669B7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E10346" w:rsidRPr="00A669B7" w:rsidRDefault="00E10346" w:rsidP="00E10346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E10346" w:rsidRPr="00A669B7" w:rsidRDefault="00E10346" w:rsidP="00E10346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E10346" w:rsidRPr="00A669B7" w:rsidRDefault="00E10346" w:rsidP="00E10346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Վերջինհինգ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A669B7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E10346" w:rsidRPr="00A669B7" w:rsidRDefault="00E10346" w:rsidP="00E10346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A669B7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E10346" w:rsidRPr="00BD381A" w:rsidRDefault="00E10346" w:rsidP="00E10346">
      <w:pPr>
        <w:jc w:val="both"/>
        <w:rPr>
          <w:rFonts w:ascii="GHEA Grapalat" w:hAnsi="GHEA Grapalat" w:cs="Times Armenian"/>
          <w:spacing w:val="-2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/>
          <w:szCs w:val="24"/>
          <w:lang w:val="hy-AM"/>
        </w:rPr>
      </w:pPr>
    </w:p>
    <w:p w:rsidR="00E10346" w:rsidRPr="00BD381A" w:rsidRDefault="00E10346" w:rsidP="00E10346">
      <w:pPr>
        <w:jc w:val="both"/>
        <w:rPr>
          <w:rFonts w:ascii="GHEA Grapalat" w:hAnsi="GHEA Grapalat"/>
          <w:szCs w:val="24"/>
          <w:lang w:val="hy-AM"/>
        </w:rPr>
      </w:pPr>
    </w:p>
    <w:p w:rsidR="006C300D" w:rsidRPr="00E10346" w:rsidRDefault="006C300D">
      <w:pPr>
        <w:rPr>
          <w:lang w:val="hy-AM"/>
        </w:rPr>
      </w:pPr>
    </w:p>
    <w:sectPr w:rsidR="006C300D" w:rsidRPr="00E10346" w:rsidSect="003025EB">
      <w:headerReference w:type="even" r:id="rId7"/>
      <w:headerReference w:type="first" r:id="rId8"/>
      <w:pgSz w:w="12240" w:h="15840" w:code="1"/>
      <w:pgMar w:top="993" w:right="1183" w:bottom="142" w:left="180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36" w:rsidRDefault="00E10346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132</w:t>
    </w:r>
    <w:r>
      <w:rPr>
        <w:rStyle w:val="PageNumber"/>
      </w:rPr>
      <w:fldChar w:fldCharType="end"/>
    </w:r>
    <w:r>
      <w:rPr>
        <w:rStyle w:val="PageNumber"/>
      </w:rPr>
      <w:tab/>
    </w:r>
  </w:p>
  <w:p w:rsidR="00DC2D36" w:rsidRDefault="00E103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36" w:rsidRDefault="00E10346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D36" w:rsidRDefault="00E103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59"/>
    <w:rsid w:val="00171010"/>
    <w:rsid w:val="00336159"/>
    <w:rsid w:val="006C300D"/>
    <w:rsid w:val="00827BBA"/>
    <w:rsid w:val="00E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69069-45D6-4143-AAFB-E05F4D66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29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4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346"/>
    <w:rPr>
      <w:color w:val="0000FF"/>
      <w:u w:val="single"/>
    </w:rPr>
  </w:style>
  <w:style w:type="character" w:styleId="PageNumber">
    <w:name w:val="page number"/>
    <w:basedOn w:val="DefaultParagraphFont"/>
    <w:rsid w:val="00E10346"/>
  </w:style>
  <w:style w:type="paragraph" w:styleId="Header">
    <w:name w:val="header"/>
    <w:basedOn w:val="Normal"/>
    <w:link w:val="HeaderChar"/>
    <w:uiPriority w:val="99"/>
    <w:rsid w:val="00E10346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03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E10346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E1034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E10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2018-09-14T14:16:00Z</dcterms:created>
  <dcterms:modified xsi:type="dcterms:W3CDTF">2018-09-14T14:16:00Z</dcterms:modified>
</cp:coreProperties>
</file>