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8544F9">
        <w:rPr>
          <w:rFonts w:ascii="GHEA Grapalat" w:hAnsi="GHEA Grapalat" w:cs="Sylfaen"/>
          <w:color w:val="5B9BD5"/>
          <w:sz w:val="20"/>
        </w:rPr>
        <w:t>Ա-0648062600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8544F9">
        <w:rPr>
          <w:rFonts w:ascii="GHEA Grapalat" w:hAnsi="GHEA Grapalat" w:cs="Sylfaen"/>
          <w:color w:val="5B9BD5"/>
          <w:sz w:val="20"/>
        </w:rPr>
        <w:t>Ա-0648062600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BA4F9E" w:rsidRPr="00B87C63">
        <w:rPr>
          <w:rFonts w:ascii="GHEA Grapalat" w:hAnsi="GHEA Grapalat" w:hint="eastAsia"/>
          <w:sz w:val="20"/>
        </w:rPr>
        <w:t>приобретение</w:t>
      </w:r>
      <w:r w:rsidR="00BA4F9E" w:rsidRPr="00B87C63">
        <w:rPr>
          <w:rFonts w:ascii="GHEA Grapalat" w:hAnsi="GHEA Grapalat"/>
          <w:sz w:val="20"/>
        </w:rPr>
        <w:t xml:space="preserve"> </w:t>
      </w:r>
      <w:r w:rsidR="008544F9" w:rsidRPr="00323552">
        <w:rPr>
          <w:rFonts w:ascii="GHEA Grapalat" w:hAnsi="GHEA Grapalat"/>
          <w:sz w:val="20"/>
        </w:rPr>
        <w:t xml:space="preserve">USB </w:t>
      </w:r>
      <w:r w:rsidR="008544F9" w:rsidRPr="00323552">
        <w:rPr>
          <w:rFonts w:ascii="GHEA Grapalat" w:hAnsi="GHEA Grapalat" w:hint="eastAsia"/>
          <w:sz w:val="20"/>
        </w:rPr>
        <w:t>флешка</w:t>
      </w:r>
      <w:r w:rsidR="008544F9" w:rsidRPr="00323552">
        <w:rPr>
          <w:rFonts w:ascii="GHEA Grapalat" w:hAnsi="GHEA Grapalat"/>
          <w:sz w:val="20"/>
        </w:rPr>
        <w:t xml:space="preserve"> / </w:t>
      </w:r>
      <w:r w:rsidR="008544F9" w:rsidRPr="00323552">
        <w:rPr>
          <w:rFonts w:ascii="GHEA Grapalat" w:hAnsi="GHEA Grapalat" w:hint="eastAsia"/>
          <w:sz w:val="20"/>
        </w:rPr>
        <w:t>с</w:t>
      </w:r>
      <w:r w:rsidR="008544F9" w:rsidRPr="00323552">
        <w:rPr>
          <w:rFonts w:ascii="GHEA Grapalat" w:hAnsi="GHEA Grapalat"/>
          <w:sz w:val="20"/>
        </w:rPr>
        <w:t xml:space="preserve"> </w:t>
      </w:r>
      <w:r w:rsidR="008544F9" w:rsidRPr="00323552">
        <w:rPr>
          <w:rFonts w:ascii="GHEA Grapalat" w:hAnsi="GHEA Grapalat" w:hint="eastAsia"/>
          <w:sz w:val="20"/>
        </w:rPr>
        <w:t>печатью</w:t>
      </w:r>
      <w:r w:rsidR="008544F9" w:rsidRPr="00323552">
        <w:rPr>
          <w:rFonts w:ascii="GHEA Grapalat" w:hAnsi="GHEA Grapalat"/>
          <w:sz w:val="20"/>
        </w:rPr>
        <w:t xml:space="preserve"> / </w:t>
      </w:r>
      <w:r w:rsidR="00BA4F9E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8544F9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/>
                <w:sz w:val="20"/>
              </w:rPr>
              <w:t xml:space="preserve">USB </w:t>
            </w:r>
            <w:r w:rsidRPr="00323552">
              <w:rPr>
                <w:rFonts w:ascii="GHEA Grapalat" w:hAnsi="GHEA Grapalat" w:hint="eastAsia"/>
                <w:sz w:val="20"/>
              </w:rPr>
              <w:t>флешка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323552">
              <w:rPr>
                <w:rFonts w:ascii="GHEA Grapalat" w:hAnsi="GHEA Grapalat" w:hint="eastAsia"/>
                <w:sz w:val="20"/>
              </w:rPr>
              <w:t>с</w:t>
            </w:r>
            <w:r w:rsidRPr="00323552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 w:hint="eastAsia"/>
                <w:sz w:val="20"/>
              </w:rPr>
              <w:t>печатью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8544F9" w:rsidRDefault="008544F9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8544F9" w:rsidP="008544F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8544F9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8544F9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8544F9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/>
                <w:sz w:val="20"/>
              </w:rPr>
              <w:t xml:space="preserve">USB </w:t>
            </w:r>
            <w:r w:rsidRPr="00323552">
              <w:rPr>
                <w:rFonts w:ascii="GHEA Grapalat" w:hAnsi="GHEA Grapalat" w:hint="eastAsia"/>
                <w:sz w:val="20"/>
              </w:rPr>
              <w:t>флешка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323552">
              <w:rPr>
                <w:rFonts w:ascii="GHEA Grapalat" w:hAnsi="GHEA Grapalat" w:hint="eastAsia"/>
                <w:sz w:val="20"/>
              </w:rPr>
              <w:t>с</w:t>
            </w:r>
            <w:r w:rsidRPr="00323552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 w:hint="eastAsia"/>
                <w:sz w:val="20"/>
              </w:rPr>
              <w:t>печатью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8544F9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/>
                <w:sz w:val="20"/>
              </w:rPr>
              <w:t xml:space="preserve">USB </w:t>
            </w:r>
            <w:r w:rsidRPr="00323552">
              <w:rPr>
                <w:rFonts w:ascii="GHEA Grapalat" w:hAnsi="GHEA Grapalat" w:hint="eastAsia"/>
                <w:sz w:val="20"/>
              </w:rPr>
              <w:t>флешка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323552">
              <w:rPr>
                <w:rFonts w:ascii="GHEA Grapalat" w:hAnsi="GHEA Grapalat" w:hint="eastAsia"/>
                <w:sz w:val="20"/>
              </w:rPr>
              <w:t>с</w:t>
            </w:r>
            <w:r w:rsidRPr="00323552">
              <w:rPr>
                <w:rFonts w:ascii="GHEA Grapalat" w:hAnsi="GHEA Grapalat"/>
                <w:sz w:val="20"/>
              </w:rPr>
              <w:t xml:space="preserve"> </w:t>
            </w:r>
            <w:r w:rsidRPr="00323552">
              <w:rPr>
                <w:rFonts w:ascii="GHEA Grapalat" w:hAnsi="GHEA Grapalat" w:hint="eastAsia"/>
                <w:sz w:val="20"/>
              </w:rPr>
              <w:t>печатью</w:t>
            </w:r>
            <w:r w:rsidRPr="00323552">
              <w:rPr>
                <w:rFonts w:ascii="GHEA Grapalat" w:hAnsi="GHEA Grapalat"/>
                <w:sz w:val="20"/>
              </w:rPr>
              <w:t xml:space="preserve"> / </w:t>
            </w:r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1B5F81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661C4">
              <w:rPr>
                <w:rFonts w:ascii="GHEA Grapalat" w:hAnsi="GHEA Grapalat" w:hint="eastAsia"/>
                <w:sz w:val="20"/>
              </w:rPr>
              <w:t>Статья</w:t>
            </w:r>
            <w:r w:rsidRPr="008661C4">
              <w:rPr>
                <w:rFonts w:ascii="GHEA Grapalat" w:hAnsi="GHEA Grapalat"/>
                <w:sz w:val="20"/>
              </w:rPr>
              <w:t xml:space="preserve"> 23, </w:t>
            </w:r>
            <w:r w:rsidRPr="008661C4">
              <w:rPr>
                <w:rFonts w:ascii="GHEA Grapalat" w:hAnsi="GHEA Grapalat" w:hint="eastAsia"/>
                <w:sz w:val="20"/>
              </w:rPr>
              <w:t>часть</w:t>
            </w:r>
            <w:r w:rsidR="005B0A65">
              <w:rPr>
                <w:rFonts w:ascii="GHEA Grapalat" w:hAnsi="GHEA Grapalat"/>
                <w:sz w:val="20"/>
              </w:rPr>
              <w:t xml:space="preserve">  4 </w:t>
            </w:r>
            <w:r w:rsidRPr="008661C4">
              <w:rPr>
                <w:rFonts w:ascii="GHEA Grapalat" w:hAnsi="GHEA Grapalat" w:hint="eastAsia"/>
                <w:sz w:val="20"/>
              </w:rPr>
              <w:t>Закона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РА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о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закупках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1B5F81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8544F9" w:rsidRDefault="008544F9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01</w:t>
            </w:r>
            <w:r w:rsidR="001B5F81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="001B5F81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/>
                <w:sz w:val="20"/>
                <w:lang w:val="hy-AM"/>
              </w:rPr>
              <w:t>20</w:t>
            </w:r>
            <w:r w:rsidR="001B5F81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1B5F81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5F81" w:rsidRPr="0018523F" w:rsidRDefault="001B5F81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 w:rsidR="0018523F">
              <w:rPr>
                <w:rFonts w:ascii="GHEA Grapalat" w:hAnsi="GHEA Grapalat"/>
                <w:sz w:val="20"/>
              </w:rPr>
              <w:t xml:space="preserve"> </w:t>
            </w:r>
            <w:r w:rsidR="008544F9"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="008544F9" w:rsidRPr="00B87C63">
              <w:rPr>
                <w:rFonts w:ascii="GHEA Grapalat" w:hAnsi="GHEA Grapalat"/>
                <w:sz w:val="20"/>
              </w:rPr>
              <w:t xml:space="preserve"> </w:t>
            </w:r>
            <w:r w:rsidR="008544F9" w:rsidRPr="00323552">
              <w:rPr>
                <w:rFonts w:ascii="GHEA Grapalat" w:hAnsi="GHEA Grapalat"/>
                <w:sz w:val="20"/>
              </w:rPr>
              <w:t xml:space="preserve">USB </w:t>
            </w:r>
            <w:r w:rsidR="008544F9" w:rsidRPr="00323552">
              <w:rPr>
                <w:rFonts w:ascii="GHEA Grapalat" w:hAnsi="GHEA Grapalat" w:hint="eastAsia"/>
                <w:sz w:val="20"/>
              </w:rPr>
              <w:t>флешка</w:t>
            </w:r>
            <w:r w:rsidR="008544F9" w:rsidRPr="00323552">
              <w:rPr>
                <w:rFonts w:ascii="GHEA Grapalat" w:hAnsi="GHEA Grapalat"/>
                <w:sz w:val="20"/>
              </w:rPr>
              <w:t xml:space="preserve"> / </w:t>
            </w:r>
            <w:r w:rsidR="008544F9" w:rsidRPr="00323552">
              <w:rPr>
                <w:rFonts w:ascii="GHEA Grapalat" w:hAnsi="GHEA Grapalat" w:hint="eastAsia"/>
                <w:sz w:val="20"/>
              </w:rPr>
              <w:t>с</w:t>
            </w:r>
            <w:r w:rsidR="008544F9" w:rsidRPr="00323552">
              <w:rPr>
                <w:rFonts w:ascii="GHEA Grapalat" w:hAnsi="GHEA Grapalat"/>
                <w:sz w:val="20"/>
              </w:rPr>
              <w:t xml:space="preserve"> </w:t>
            </w:r>
            <w:r w:rsidR="008544F9" w:rsidRPr="00323552">
              <w:rPr>
                <w:rFonts w:ascii="GHEA Grapalat" w:hAnsi="GHEA Grapalat" w:hint="eastAsia"/>
                <w:sz w:val="20"/>
              </w:rPr>
              <w:t>печатью</w:t>
            </w:r>
            <w:r w:rsidR="0018523F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</w:p>
        </w:tc>
      </w:tr>
      <w:tr w:rsidR="001B5F81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5B0A65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5B0A65" w:rsidRPr="00F47D29" w:rsidRDefault="008544F9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323552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323552">
                    <w:rPr>
                      <w:rFonts w:ascii="GHEA Grapalat" w:hAnsi="GHEA Grapalat"/>
                      <w:sz w:val="20"/>
                    </w:rPr>
                    <w:t xml:space="preserve"> "</w:t>
                  </w:r>
                  <w:r w:rsidRPr="00323552">
                    <w:rPr>
                      <w:rFonts w:ascii="GHEA Grapalat" w:hAnsi="GHEA Grapalat" w:hint="eastAsia"/>
                      <w:sz w:val="20"/>
                    </w:rPr>
                    <w:t>Антарес</w:t>
                  </w:r>
                  <w:r w:rsidRPr="00323552">
                    <w:rPr>
                      <w:rFonts w:ascii="GHEA Grapalat" w:hAnsi="GHEA Grapalat"/>
                      <w:sz w:val="20"/>
                    </w:rPr>
                    <w:t>"</w:t>
                  </w:r>
                </w:p>
              </w:tc>
            </w:tr>
          </w:tbl>
          <w:p w:rsidR="001B5F81" w:rsidRPr="00F47D29" w:rsidRDefault="001B5F81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5F81" w:rsidRPr="005B0A65" w:rsidRDefault="008544F9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5F81" w:rsidRPr="005B0A65" w:rsidRDefault="008544F9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B5F81" w:rsidRPr="005B0A65" w:rsidRDefault="008544F9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30,000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1B5F81" w:rsidRPr="005B0A65" w:rsidRDefault="008544F9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30,000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B5F81" w:rsidRPr="001329CB" w:rsidRDefault="008544F9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1B5F81" w:rsidRPr="001329CB" w:rsidRDefault="008544F9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</w:tr>
      <w:tr w:rsidR="001B5F81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Наименован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12DCE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18523F">
              <w:rPr>
                <w:rFonts w:ascii="GHEA Grapalat" w:hAnsi="GHEA Grapalat"/>
                <w:sz w:val="20"/>
              </w:rPr>
              <w:t xml:space="preserve"> </w:t>
            </w:r>
            <w:r w:rsidR="005B0A65">
              <w:rPr>
                <w:rFonts w:ascii="GHEA Grapalat" w:hAnsi="GHEA Grapalat"/>
                <w:sz w:val="20"/>
              </w:rPr>
              <w:t>01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5B0A65">
              <w:rPr>
                <w:rFonts w:ascii="GHEA Grapalat" w:hAnsi="GHEA Grapalat"/>
                <w:sz w:val="20"/>
              </w:rPr>
              <w:t>4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1B5F81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1B5F81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0A65" w:rsidRPr="00F47D29" w:rsidRDefault="008544F9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23552">
              <w:rPr>
                <w:rFonts w:ascii="GHEA Grapalat" w:hAnsi="GHEA Grapalat" w:hint="eastAsia"/>
                <w:sz w:val="20"/>
              </w:rPr>
              <w:t>ООО</w:t>
            </w:r>
            <w:r w:rsidRPr="00323552">
              <w:rPr>
                <w:rFonts w:ascii="GHEA Grapalat" w:hAnsi="GHEA Grapalat"/>
                <w:sz w:val="20"/>
              </w:rPr>
              <w:t xml:space="preserve"> "</w:t>
            </w:r>
            <w:r w:rsidRPr="00323552">
              <w:rPr>
                <w:rFonts w:ascii="GHEA Grapalat" w:hAnsi="GHEA Grapalat" w:hint="eastAsia"/>
                <w:sz w:val="20"/>
              </w:rPr>
              <w:t>Антарес</w:t>
            </w:r>
            <w:r w:rsidRPr="0032355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0A65" w:rsidRPr="002D31FD" w:rsidRDefault="008544F9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5B9BD5"/>
                <w:sz w:val="20"/>
              </w:rPr>
              <w:t>Ա-0648062600</w:t>
            </w:r>
            <w:r w:rsidR="00BA4F9E" w:rsidRPr="002579BD">
              <w:rPr>
                <w:rFonts w:ascii="GHEA Grapalat" w:hAnsi="GHEA Grapalat" w:cs="Sylfaen"/>
                <w:color w:val="5B9BD5"/>
                <w:sz w:val="20"/>
                <w:lang w:val="af-ZA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0A65" w:rsidRPr="001329CB" w:rsidRDefault="008544F9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B0A65" w:rsidRPr="001329CB" w:rsidRDefault="008544F9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</w:tr>
      <w:tr w:rsidR="005B0A65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5B0A65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5B0A65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47D29" w:rsidRDefault="008544F9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23552">
              <w:rPr>
                <w:rFonts w:ascii="GHEA Grapalat" w:hAnsi="GHEA Grapalat" w:hint="eastAsia"/>
                <w:sz w:val="20"/>
              </w:rPr>
              <w:t>ООО</w:t>
            </w:r>
            <w:r w:rsidRPr="00323552">
              <w:rPr>
                <w:rFonts w:ascii="GHEA Grapalat" w:hAnsi="GHEA Grapalat"/>
                <w:sz w:val="20"/>
              </w:rPr>
              <w:t xml:space="preserve"> "</w:t>
            </w:r>
            <w:r w:rsidRPr="00323552">
              <w:rPr>
                <w:rFonts w:ascii="GHEA Grapalat" w:hAnsi="GHEA Grapalat" w:hint="eastAsia"/>
                <w:sz w:val="20"/>
              </w:rPr>
              <w:t>Антарес</w:t>
            </w:r>
            <w:r w:rsidRPr="0032355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1B5F81" w:rsidRDefault="008544F9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44F9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544F9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544F9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8544F9">
              <w:rPr>
                <w:rFonts w:ascii="GHEA Grapalat" w:hAnsi="GHEA Grapalat" w:hint="eastAsia"/>
                <w:b/>
                <w:sz w:val="18"/>
                <w:szCs w:val="18"/>
              </w:rPr>
              <w:t>ул</w:t>
            </w:r>
            <w:r w:rsidRPr="008544F9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8544F9">
              <w:rPr>
                <w:rFonts w:ascii="GHEA Grapalat" w:hAnsi="GHEA Grapalat" w:hint="eastAsia"/>
                <w:b/>
                <w:sz w:val="18"/>
                <w:szCs w:val="18"/>
              </w:rPr>
              <w:t>Маштоца</w:t>
            </w:r>
            <w:r w:rsidRPr="008544F9">
              <w:rPr>
                <w:rFonts w:ascii="GHEA Grapalat" w:hAnsi="GHEA Grapalat"/>
                <w:b/>
                <w:sz w:val="18"/>
                <w:szCs w:val="18"/>
              </w:rPr>
              <w:t xml:space="preserve"> 50</w:t>
            </w:r>
            <w:r w:rsidRPr="008544F9">
              <w:rPr>
                <w:rFonts w:ascii="GHEA Grapalat" w:hAnsi="GHEA Grapalat" w:hint="eastAsia"/>
                <w:b/>
                <w:sz w:val="18"/>
                <w:szCs w:val="18"/>
              </w:rPr>
              <w:t>А</w:t>
            </w:r>
            <w:r w:rsidRPr="008544F9">
              <w:rPr>
                <w:rFonts w:ascii="GHEA Grapalat" w:hAnsi="GHEA Grapalat"/>
                <w:b/>
                <w:sz w:val="18"/>
                <w:szCs w:val="18"/>
              </w:rPr>
              <w:t xml:space="preserve"> / 1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5B0A65" w:rsidRDefault="00BA4F9E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5B0A65" w:rsidRPr="002D31FD" w:rsidRDefault="008544F9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1930032650660100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5B0A65" w:rsidRDefault="008544F9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02519531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AC6FE9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B0A65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B0A65" w:rsidRPr="00BF761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lastRenderedPageBreak/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5B0A65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5B0A65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B0A65" w:rsidRPr="00C51DE5" w:rsidRDefault="005B0A65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B0A65" w:rsidRPr="00C51DE5" w:rsidRDefault="005B0A65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B0A65" w:rsidRPr="006E7E59" w:rsidRDefault="0049273D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5B0A65"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079" w:rsidRDefault="00AD1079">
      <w:r>
        <w:separator/>
      </w:r>
    </w:p>
  </w:endnote>
  <w:endnote w:type="continuationSeparator" w:id="1">
    <w:p w:rsidR="00AD1079" w:rsidRDefault="00AD1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27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9273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544F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079" w:rsidRDefault="00AD1079">
      <w:r>
        <w:separator/>
      </w:r>
    </w:p>
  </w:footnote>
  <w:footnote w:type="continuationSeparator" w:id="1">
    <w:p w:rsidR="00AD1079" w:rsidRDefault="00AD1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273D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44F9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1079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2020-04-02T12:04:00Z</dcterms:created>
  <dcterms:modified xsi:type="dcterms:W3CDTF">2020-04-02T12:04:00Z</dcterms:modified>
</cp:coreProperties>
</file>