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019B6">
      <w:pPr>
        <w:spacing w:after="0"/>
        <w:ind w:right="-2"/>
        <w:jc w:val="center"/>
        <w:rPr>
          <w:rFonts w:ascii="GHEA Grapalat" w:hAnsi="GHEA Grapalat"/>
          <w:b/>
          <w:color w:val="0070C0"/>
          <w:sz w:val="20"/>
          <w:szCs w:val="20"/>
        </w:rPr>
      </w:pPr>
      <w:r>
        <w:rPr>
          <w:rFonts w:ascii="GHEA Grapalat" w:hAnsi="GHEA Grapalat"/>
          <w:b/>
          <w:color w:val="0070C0"/>
          <w:sz w:val="20"/>
          <w:szCs w:val="20"/>
        </w:rPr>
        <w:t>ANNOUNCEMENT</w:t>
      </w:r>
    </w:p>
    <w:p w14:paraId="448ED578">
      <w:pPr>
        <w:spacing w:after="0"/>
        <w:ind w:right="-2"/>
        <w:jc w:val="center"/>
        <w:rPr>
          <w:rFonts w:ascii="GHEA Grapalat" w:hAnsi="GHEA Grapalat"/>
          <w:b/>
          <w:color w:val="0070C0"/>
          <w:sz w:val="20"/>
          <w:szCs w:val="20"/>
        </w:rPr>
      </w:pPr>
      <w:r>
        <w:rPr>
          <w:rFonts w:ascii="GHEA Grapalat" w:hAnsi="GHEA Grapalat"/>
          <w:b/>
          <w:color w:val="0070C0"/>
          <w:sz w:val="20"/>
          <w:szCs w:val="20"/>
        </w:rPr>
        <w:t>ABOUT PRE-QUALIFICATION PROCEDURE</w:t>
      </w:r>
    </w:p>
    <w:p w14:paraId="4E4A18D0">
      <w:pPr>
        <w:spacing w:after="0"/>
        <w:ind w:right="-2"/>
        <w:jc w:val="center"/>
        <w:rPr>
          <w:rFonts w:ascii="GHEA Grapalat" w:hAnsi="GHEA Grapalat"/>
          <w:b/>
          <w:sz w:val="20"/>
          <w:szCs w:val="20"/>
        </w:rPr>
      </w:pPr>
    </w:p>
    <w:p w14:paraId="13493A5B">
      <w:pPr>
        <w:tabs>
          <w:tab w:val="center" w:pos="4819"/>
          <w:tab w:val="left" w:pos="7275"/>
        </w:tabs>
        <w:spacing w:after="0"/>
        <w:ind w:right="-2"/>
        <w:jc w:val="center"/>
        <w:rPr>
          <w:rFonts w:ascii="GHEA Grapalat" w:hAnsi="GHEA Grapalat"/>
          <w:b/>
          <w:sz w:val="20"/>
          <w:szCs w:val="20"/>
        </w:rPr>
      </w:pPr>
      <w:r>
        <w:rPr>
          <w:rFonts w:ascii="GHEA Grapalat" w:hAnsi="GHEA Grapalat"/>
          <w:b/>
          <w:sz w:val="20"/>
          <w:szCs w:val="20"/>
        </w:rPr>
        <w:t xml:space="preserve">The current text of the announcement is confirmed by the N 1 decision of the close close purposed tender estimating committee </w:t>
      </w:r>
      <w:r>
        <w:rPr>
          <w:rFonts w:ascii="Sylfaen" w:hAnsi="Sylfaen"/>
          <w:b/>
          <w:szCs w:val="20"/>
        </w:rPr>
        <w:t xml:space="preserve">on </w:t>
      </w:r>
      <w:r>
        <w:rPr>
          <w:rFonts w:ascii="Sylfaen" w:hAnsi="Sylfaen"/>
          <w:b/>
          <w:color w:val="FF0000"/>
          <w:szCs w:val="20"/>
        </w:rPr>
        <w:t xml:space="preserve">04.08.2025 </w:t>
      </w:r>
      <w:r>
        <w:rPr>
          <w:rFonts w:ascii="GHEA Grapalat" w:hAnsi="GHEA Grapalat"/>
          <w:b/>
          <w:sz w:val="20"/>
          <w:szCs w:val="20"/>
        </w:rPr>
        <w:t>and is published according to the 24th article of the RA law «About of Procurements».</w:t>
      </w:r>
    </w:p>
    <w:p w14:paraId="5BA42352">
      <w:pPr>
        <w:tabs>
          <w:tab w:val="center" w:pos="4819"/>
          <w:tab w:val="left" w:pos="7275"/>
        </w:tabs>
        <w:spacing w:after="0"/>
        <w:ind w:right="-2"/>
        <w:jc w:val="both"/>
        <w:rPr>
          <w:rFonts w:ascii="GHEA Grapalat" w:hAnsi="GHEA Grapalat"/>
          <w:sz w:val="20"/>
          <w:szCs w:val="20"/>
        </w:rPr>
      </w:pPr>
    </w:p>
    <w:p w14:paraId="596D93E6">
      <w:pPr>
        <w:tabs>
          <w:tab w:val="center" w:pos="4819"/>
          <w:tab w:val="left" w:pos="7275"/>
        </w:tabs>
        <w:spacing w:after="0"/>
        <w:ind w:right="-2"/>
        <w:jc w:val="center"/>
        <w:rPr>
          <w:rFonts w:ascii="GHEA Grapalat" w:hAnsi="GHEA Grapalat"/>
          <w:b/>
          <w:sz w:val="20"/>
          <w:szCs w:val="20"/>
        </w:rPr>
      </w:pPr>
      <w:bookmarkStart w:id="0" w:name="_GoBack"/>
      <w:bookmarkEnd w:id="0"/>
      <w:r>
        <w:rPr>
          <w:rFonts w:ascii="GHEA Grapalat" w:hAnsi="GHEA Grapalat"/>
          <w:b/>
          <w:sz w:val="20"/>
          <w:szCs w:val="20"/>
        </w:rPr>
        <w:t>The procedure code is “</w:t>
      </w:r>
      <w:r>
        <w:rPr>
          <w:rFonts w:ascii="GHEA Grapalat" w:hAnsi="GHEA Grapalat"/>
          <w:b/>
          <w:color w:val="FF0000"/>
          <w:sz w:val="20"/>
          <w:szCs w:val="20"/>
        </w:rPr>
        <w:t>HH PN-</w:t>
      </w:r>
      <w:r>
        <w:t xml:space="preserve"> </w:t>
      </w:r>
      <w:r>
        <w:rPr>
          <w:rFonts w:ascii="GHEA Grapalat" w:hAnsi="GHEA Grapalat"/>
          <w:b/>
          <w:color w:val="FF0000"/>
          <w:sz w:val="20"/>
          <w:szCs w:val="20"/>
        </w:rPr>
        <w:t>PGHAPDZB-25-23/1</w:t>
      </w:r>
      <w:r>
        <w:rPr>
          <w:rFonts w:ascii="GHEA Grapalat" w:hAnsi="GHEA Grapalat"/>
          <w:b/>
          <w:sz w:val="20"/>
          <w:szCs w:val="20"/>
        </w:rPr>
        <w:t>”.</w:t>
      </w:r>
    </w:p>
    <w:p w14:paraId="70186B54">
      <w:pPr>
        <w:tabs>
          <w:tab w:val="center" w:pos="4819"/>
          <w:tab w:val="left" w:pos="7275"/>
        </w:tabs>
        <w:spacing w:after="0"/>
        <w:ind w:right="-2"/>
        <w:jc w:val="center"/>
        <w:rPr>
          <w:rFonts w:ascii="GHEA Grapalat" w:hAnsi="GHEA Grapalat"/>
          <w:b/>
          <w:sz w:val="20"/>
          <w:szCs w:val="20"/>
        </w:rPr>
      </w:pPr>
    </w:p>
    <w:p w14:paraId="1D6BD866">
      <w:pPr>
        <w:tabs>
          <w:tab w:val="center" w:pos="4819"/>
          <w:tab w:val="left" w:pos="7275"/>
        </w:tabs>
        <w:spacing w:after="0"/>
        <w:ind w:right="-2"/>
        <w:jc w:val="center"/>
        <w:rPr>
          <w:rFonts w:ascii="GHEA Grapalat" w:hAnsi="GHEA Grapalat"/>
          <w:b/>
          <w:color w:val="0070C0"/>
          <w:sz w:val="20"/>
          <w:szCs w:val="20"/>
        </w:rPr>
      </w:pPr>
      <w:r>
        <w:rPr>
          <w:rFonts w:ascii="GHEA Grapalat" w:hAnsi="GHEA Grapalat"/>
          <w:b/>
          <w:color w:val="0070C0"/>
          <w:sz w:val="20"/>
          <w:szCs w:val="20"/>
        </w:rPr>
        <w:t>I. THE DESCRIPTION OF THE PROCUREMENT OBJECT</w:t>
      </w:r>
    </w:p>
    <w:p w14:paraId="4519984A">
      <w:pPr>
        <w:pStyle w:val="9"/>
        <w:shd w:val="clear" w:color="auto" w:fill="F8F9FA"/>
        <w:rPr>
          <w:rFonts w:ascii="GHEA Grapalat" w:hAnsi="GHEA Grapalat"/>
          <w:color w:val="FF0000"/>
          <w:highlight w:val="none"/>
        </w:rPr>
      </w:pPr>
      <w:r>
        <w:rPr>
          <w:rFonts w:ascii="GHEA Grapalat" w:hAnsi="GHEA Grapalat"/>
        </w:rPr>
        <w:t>1. The customer, the Ministry of Defence of the RA, located in Bagrevand 5, Yerevan, announces pre-qualification procedure for a decision of potential participant of the quotation requesttender organized for purch</w:t>
      </w:r>
      <w:r>
        <w:rPr>
          <w:rFonts w:ascii="GHEA Grapalat" w:hAnsi="GHEA Grapalat"/>
          <w:highlight w:val="none"/>
        </w:rPr>
        <w:t>ases of</w:t>
      </w:r>
      <w:r>
        <w:rPr>
          <w:rFonts w:ascii="GHEA Grapalat" w:hAnsi="GHEA Grapalat"/>
          <w:color w:val="FF0000"/>
          <w:highlight w:val="none"/>
        </w:rPr>
        <w:t xml:space="preserve"> boxes and camouflage cases</w:t>
      </w:r>
    </w:p>
    <w:p w14:paraId="187ADB69">
      <w:pPr>
        <w:pStyle w:val="9"/>
        <w:shd w:val="clear" w:color="auto" w:fill="F8F9FA"/>
        <w:jc w:val="center"/>
        <w:rPr>
          <w:rFonts w:ascii="GHEA Grapalat" w:hAnsi="GHEA Grapalat" w:cs="Arial"/>
          <w:b/>
          <w:color w:val="0070C0"/>
          <w:highlight w:val="none"/>
          <w:lang w:eastAsia="ru-RU"/>
        </w:rPr>
      </w:pPr>
      <w:r>
        <w:rPr>
          <w:rFonts w:ascii="GHEA Grapalat" w:hAnsi="GHEA Grapalat" w:cs="Arial"/>
          <w:b/>
          <w:color w:val="0070C0"/>
          <w:highlight w:val="none"/>
          <w:lang w:eastAsia="ru-RU"/>
        </w:rPr>
        <w:t>II. TERMS OF PROCEDUREPARTICIPATION</w:t>
      </w:r>
    </w:p>
    <w:p w14:paraId="2EF9EA95">
      <w:pPr>
        <w:pStyle w:val="11"/>
        <w:spacing w:after="0" w:line="240" w:lineRule="auto"/>
        <w:ind w:left="0" w:right="-2" w:firstLine="180"/>
        <w:jc w:val="both"/>
        <w:rPr>
          <w:rFonts w:ascii="GHEA Grapalat" w:hAnsi="GHEA Grapalat"/>
          <w:sz w:val="20"/>
          <w:szCs w:val="20"/>
          <w:highlight w:val="none"/>
        </w:rPr>
      </w:pPr>
      <w:r>
        <w:rPr>
          <w:rFonts w:ascii="GHEA Grapalat" w:hAnsi="GHEA Grapalat"/>
          <w:sz w:val="20"/>
          <w:szCs w:val="20"/>
          <w:highlight w:val="none"/>
        </w:rPr>
        <w:t>2. According to the terms of Article 7 of the RA law “About of Procurements”, any person or entities, irrespective of being a foreigner, a foreign entity or a stateless person, has the equal right to participate in the pre-qualification procedure.</w:t>
      </w:r>
    </w:p>
    <w:p w14:paraId="58267B19">
      <w:pPr>
        <w:pStyle w:val="9"/>
        <w:shd w:val="clear" w:color="auto" w:fill="F8F9FA"/>
        <w:rPr>
          <w:rFonts w:ascii="GHEA Grapalat" w:hAnsi="GHEA Grapalat" w:eastAsia="Calibri" w:cs="Times New Roman"/>
          <w:color w:val="FF0000"/>
          <w:highlight w:val="none"/>
        </w:rPr>
      </w:pPr>
      <w:r>
        <w:rPr>
          <w:rFonts w:ascii="GHEA Grapalat" w:hAnsi="GHEA Grapalat"/>
          <w:color w:val="222222"/>
          <w:highlight w:val="none"/>
          <w:lang w:eastAsia="ru-RU"/>
        </w:rPr>
        <w:t xml:space="preserve">  3. </w:t>
      </w:r>
      <w:r>
        <w:rPr>
          <w:rFonts w:ascii="GHEA Grapalat" w:hAnsi="GHEA Grapalat" w:eastAsia="Calibri" w:cs="Times New Roman"/>
          <w:highlight w:val="none"/>
        </w:rPr>
        <w:t>The participant who wants to participate in the pre-qualification procedure must satisfy the qualification criterion "Correspondence of professional activity to the activity provided for in the contract" defined by Article 6, Part 3, Paragraph 1 of the RA Law "</w:t>
      </w:r>
      <w:r>
        <w:rPr>
          <w:rFonts w:ascii="GHEA Grapalat" w:hAnsi="GHEA Grapalat"/>
          <w:highlight w:val="none"/>
        </w:rPr>
        <w:t xml:space="preserve"> About of Procurements</w:t>
      </w:r>
      <w:r>
        <w:rPr>
          <w:rFonts w:ascii="GHEA Grapalat" w:hAnsi="GHEA Grapalat" w:eastAsia="Calibri" w:cs="Times New Roman"/>
          <w:highlight w:val="none"/>
        </w:rPr>
        <w:t xml:space="preserve"> ".</w:t>
      </w:r>
      <w:r>
        <w:rPr>
          <w:highlight w:val="none"/>
        </w:rPr>
        <w:t xml:space="preserve"> </w:t>
      </w:r>
      <w:r>
        <w:rPr>
          <w:rFonts w:ascii="GHEA Grapalat" w:hAnsi="GHEA Grapalat" w:eastAsia="Calibri" w:cs="Times New Roman"/>
          <w:highlight w:val="none"/>
        </w:rPr>
        <w:t xml:space="preserve">At the same time similar are </w:t>
      </w:r>
      <w:r>
        <w:rPr>
          <w:rFonts w:ascii="GHEA Grapalat" w:hAnsi="GHEA Grapalat" w:eastAsia="Calibri" w:cs="Times New Roman"/>
          <w:color w:val="FF0000"/>
          <w:highlight w:val="none"/>
        </w:rPr>
        <w:t>contracts for the supply of wooden crates, camouflage covers and/or bedspreads, and/or awnings in relation to crates, camouflage covers, camouflage covers and/or awnings</w:t>
      </w:r>
    </w:p>
    <w:p w14:paraId="60451159">
      <w:pPr>
        <w:pStyle w:val="9"/>
        <w:shd w:val="clear" w:color="auto" w:fill="F8F9FA"/>
        <w:rPr>
          <w:rFonts w:ascii="GHEA Grapalat" w:hAnsi="GHEA Grapalat"/>
          <w:color w:val="222222"/>
          <w:lang w:eastAsia="ru-RU"/>
        </w:rPr>
      </w:pPr>
      <w:r>
        <w:rPr>
          <w:rFonts w:ascii="GHEA Grapalat" w:hAnsi="GHEA Grapalat" w:eastAsia="Calibri" w:cs="Times New Roman"/>
        </w:rPr>
        <w:t xml:space="preserve"> </w:t>
      </w:r>
      <w:r>
        <w:rPr>
          <w:rFonts w:ascii="GHEA Grapalat" w:hAnsi="GHEA Grapalat"/>
          <w:color w:val="222222"/>
          <w:lang w:eastAsia="ru-RU"/>
        </w:rPr>
        <w:t>The Participant is considered to satisfy the qualification criteria by this subarticle if the requested information is submitted;</w:t>
      </w:r>
    </w:p>
    <w:p w14:paraId="74C6ECD6">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4. Participants can participate in the pre-qualification procedure in joint operation activity (consortium).</w:t>
      </w:r>
    </w:p>
    <w:p w14:paraId="27CE3876">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In that case:</w:t>
      </w:r>
    </w:p>
    <w:p w14:paraId="2A09A92C">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1) the pre-qualification application also includes a contract of joint activity;</w:t>
      </w:r>
    </w:p>
    <w:p w14:paraId="1421B916">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2) the pre-qualification of application, the common qualifications of all members of the joint activity contract, shall be taken into account (the qualification of each member of the contract of joint activity shall correspond with the qualification requirements set forth in this invitation by that member)</w:t>
      </w:r>
    </w:p>
    <w:p w14:paraId="5DC31FFF">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3) the participants bear joint and coherent liability;</w:t>
      </w:r>
    </w:p>
    <w:p w14:paraId="26CD94AA">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4) The side (s) of the joint activity contract (s) cannot submit separate applications (applications) to the same procedure.</w:t>
      </w:r>
    </w:p>
    <w:p w14:paraId="7D61C4C1">
      <w:pPr>
        <w:shd w:val="clear" w:color="auto" w:fill="FFFFFF"/>
        <w:spacing w:after="0" w:line="240" w:lineRule="auto"/>
        <w:ind w:right="-2" w:firstLine="360"/>
        <w:jc w:val="both"/>
        <w:textAlignment w:val="top"/>
        <w:rPr>
          <w:rFonts w:ascii="GHEA Grapalat" w:hAnsi="GHEA Grapalat"/>
          <w:color w:val="222222"/>
          <w:sz w:val="20"/>
          <w:szCs w:val="20"/>
          <w:lang w:eastAsia="ru-RU"/>
        </w:rPr>
      </w:pPr>
      <w:r>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sanctions provided by the contract.</w:t>
      </w:r>
    </w:p>
    <w:p w14:paraId="43918D4B">
      <w:pPr>
        <w:shd w:val="clear" w:color="auto" w:fill="FFFFFF"/>
        <w:spacing w:after="0" w:line="240" w:lineRule="auto"/>
        <w:ind w:right="-2" w:firstLine="180"/>
        <w:jc w:val="both"/>
        <w:textAlignment w:val="top"/>
        <w:rPr>
          <w:rFonts w:ascii="GHEA Grapalat" w:hAnsi="GHEA Grapalat"/>
          <w:color w:val="222222"/>
          <w:sz w:val="20"/>
          <w:szCs w:val="20"/>
          <w:lang w:eastAsia="ru-RU"/>
        </w:rPr>
      </w:pPr>
      <w:r>
        <w:rPr>
          <w:rFonts w:ascii="GHEA Grapalat" w:hAnsi="GHEA Grapalat"/>
          <w:color w:val="222222"/>
          <w:sz w:val="20"/>
          <w:szCs w:val="20"/>
          <w:lang w:eastAsia="ru-RU"/>
        </w:rPr>
        <w:t>5. During a quotation requesttender, the participants can be  known or entrusted with information containing state secrets, the publication of which (in any form) to the other person(including relatives)  may cause the responsibility prescribed by the RA legislation.</w:t>
      </w:r>
    </w:p>
    <w:p w14:paraId="47795E84">
      <w:pPr>
        <w:shd w:val="clear" w:color="auto" w:fill="FFFFFF"/>
        <w:spacing w:after="0" w:line="240" w:lineRule="auto"/>
        <w:ind w:right="-2" w:firstLine="180"/>
        <w:textAlignment w:val="top"/>
        <w:rPr>
          <w:rFonts w:ascii="GHEA Grapalat" w:hAnsi="GHEA Grapalat"/>
          <w:color w:val="222222"/>
          <w:sz w:val="20"/>
          <w:szCs w:val="20"/>
          <w:lang w:eastAsia="ru-RU"/>
        </w:rPr>
      </w:pPr>
    </w:p>
    <w:p w14:paraId="670B255C">
      <w:pPr>
        <w:shd w:val="clear" w:color="auto" w:fill="FFFFFF"/>
        <w:spacing w:after="0" w:line="240" w:lineRule="auto"/>
        <w:ind w:right="-2"/>
        <w:jc w:val="center"/>
        <w:textAlignment w:val="top"/>
        <w:rPr>
          <w:rFonts w:ascii="GHEA Grapalat" w:hAnsi="GHEA Grapalat" w:cs="Arial"/>
          <w:b/>
          <w:color w:val="0070C0"/>
          <w:sz w:val="20"/>
          <w:szCs w:val="20"/>
        </w:rPr>
      </w:pPr>
      <w:r>
        <w:rPr>
          <w:rFonts w:ascii="GHEA Grapalat" w:hAnsi="GHEA Grapalat" w:cs="Arial"/>
          <w:b/>
          <w:color w:val="0070C0"/>
          <w:sz w:val="20"/>
          <w:szCs w:val="20"/>
        </w:rPr>
        <w:t>III. FORM OF GETTING CLARIFICATION AND MAKING THE CHANGE IN AN ANNOUNCEMENT</w:t>
      </w:r>
    </w:p>
    <w:p w14:paraId="358414BE">
      <w:pPr>
        <w:shd w:val="clear" w:color="auto" w:fill="FFFFFF"/>
        <w:spacing w:after="0" w:line="240" w:lineRule="auto"/>
        <w:ind w:right="-2" w:firstLine="567"/>
        <w:jc w:val="both"/>
        <w:textAlignment w:val="top"/>
        <w:rPr>
          <w:rFonts w:ascii="GHEA Grapalat" w:hAnsi="GHEA Grapalat" w:eastAsia="Times New Roman"/>
          <w:color w:val="FF0000"/>
          <w:sz w:val="20"/>
          <w:szCs w:val="20"/>
          <w:lang w:eastAsia="ru-RU"/>
        </w:rPr>
      </w:pPr>
      <w:r>
        <w:rPr>
          <w:rFonts w:ascii="GHEA Grapalat" w:hAnsi="GHEA Grapalat"/>
          <w:color w:val="222222"/>
          <w:sz w:val="20"/>
          <w:szCs w:val="20"/>
        </w:rPr>
        <w:t xml:space="preserve">6. </w:t>
      </w:r>
      <w:r>
        <w:rPr>
          <w:rFonts w:ascii="GHEA Grapalat" w:hAnsi="GHEA Grapalat" w:eastAsia="Times New Roman"/>
          <w:sz w:val="20"/>
          <w:szCs w:val="20"/>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703572FA">
      <w:pPr>
        <w:shd w:val="clear" w:color="auto" w:fill="FFFFFF"/>
        <w:spacing w:after="0" w:line="240" w:lineRule="auto"/>
        <w:ind w:right="-2"/>
        <w:jc w:val="both"/>
        <w:textAlignment w:val="top"/>
        <w:rPr>
          <w:rFonts w:ascii="GHEA Grapalat" w:hAnsi="GHEA Grapalat" w:eastAsia="Times New Roman" w:cs="Arial"/>
          <w:color w:val="222222"/>
          <w:sz w:val="20"/>
          <w:szCs w:val="20"/>
          <w:lang w:eastAsia="ru-RU"/>
        </w:rPr>
      </w:pPr>
      <w:r>
        <w:rPr>
          <w:rFonts w:ascii="GHEA Grapalat" w:hAnsi="GHEA Grapalat" w:eastAsia="Times New Roman" w:cs="Arial"/>
          <w:color w:val="222222"/>
          <w:sz w:val="20"/>
          <w:szCs w:val="20"/>
          <w:lang w:eastAsia="ru-RU"/>
        </w:rPr>
        <w:t xml:space="preserve">      If the request specified in this point is submitted by e-mail, the participant sends the printed version of the original letter to the e-mail address of the secretary of the committee.</w:t>
      </w:r>
    </w:p>
    <w:p w14:paraId="3197DB35">
      <w:pPr>
        <w:shd w:val="clear" w:color="auto" w:fill="FFFFFF"/>
        <w:spacing w:after="0" w:line="240" w:lineRule="auto"/>
        <w:ind w:right="-2" w:firstLine="567"/>
        <w:jc w:val="both"/>
        <w:textAlignment w:val="top"/>
        <w:rPr>
          <w:rFonts w:ascii="GHEA Grapalat" w:hAnsi="GHEA Grapalat" w:eastAsia="Times New Roman" w:cs="Arial"/>
          <w:color w:val="222222"/>
          <w:sz w:val="20"/>
          <w:szCs w:val="20"/>
          <w:lang w:eastAsia="ru-RU"/>
        </w:rPr>
      </w:pPr>
      <w:r>
        <w:rPr>
          <w:rFonts w:ascii="GHEA Grapalat" w:hAnsi="GHEA Grapalat" w:eastAsia="Times New Roman"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14:paraId="5121336A">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14:paraId="06783672">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14:paraId="3EE14DC6">
      <w:pPr>
        <w:shd w:val="clear" w:color="auto" w:fill="FFFFFF"/>
        <w:spacing w:after="0" w:line="240" w:lineRule="auto"/>
        <w:ind w:right="-2" w:firstLine="180"/>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the modification in the bulletin.</w:t>
      </w:r>
    </w:p>
    <w:p w14:paraId="62476681">
      <w:pPr>
        <w:shd w:val="clear" w:color="auto" w:fill="FFFFFF"/>
        <w:spacing w:after="0" w:line="240" w:lineRule="auto"/>
        <w:ind w:right="-2" w:firstLine="180"/>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14:paraId="74FC1CF5">
      <w:pPr>
        <w:shd w:val="clear" w:color="auto" w:fill="FFFFFF"/>
        <w:spacing w:after="0" w:line="240" w:lineRule="auto"/>
        <w:ind w:right="-2"/>
        <w:jc w:val="center"/>
        <w:textAlignment w:val="top"/>
        <w:rPr>
          <w:rFonts w:ascii="GHEA Grapalat" w:hAnsi="GHEA Grapalat" w:cs="Arial"/>
          <w:b/>
          <w:color w:val="0070C0"/>
          <w:sz w:val="20"/>
          <w:szCs w:val="20"/>
        </w:rPr>
      </w:pPr>
    </w:p>
    <w:p w14:paraId="1A0141B1">
      <w:pPr>
        <w:shd w:val="clear" w:color="auto" w:fill="FFFFFF"/>
        <w:spacing w:after="0" w:line="240" w:lineRule="auto"/>
        <w:ind w:right="-2"/>
        <w:jc w:val="center"/>
        <w:textAlignment w:val="top"/>
        <w:rPr>
          <w:rFonts w:ascii="GHEA Grapalat" w:hAnsi="GHEA Grapalat" w:cs="Arial"/>
          <w:color w:val="222222"/>
          <w:sz w:val="20"/>
          <w:szCs w:val="20"/>
        </w:rPr>
      </w:pPr>
      <w:r>
        <w:rPr>
          <w:rFonts w:ascii="GHEA Grapalat" w:hAnsi="GHEA Grapalat" w:cs="Arial"/>
          <w:b/>
          <w:color w:val="0070C0"/>
          <w:sz w:val="20"/>
          <w:szCs w:val="20"/>
        </w:rPr>
        <w:t>IV. THE FORM OF PRESENTATION OF THE PRE-QUALIFICATION APPLICATION:</w:t>
      </w:r>
      <w:r>
        <w:rPr>
          <w:rFonts w:ascii="GHEA Grapalat" w:hAnsi="GHEA Grapalat" w:cs="Arial"/>
          <w:b/>
          <w:color w:val="0070C0"/>
          <w:sz w:val="20"/>
          <w:szCs w:val="20"/>
        </w:rPr>
        <w:br w:type="textWrapping"/>
      </w:r>
    </w:p>
    <w:p w14:paraId="12758B54">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11. In order to participate in this procedure, the participant submits the application to the committee.</w:t>
      </w:r>
    </w:p>
    <w:p w14:paraId="6BE8C3A9">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12. The pre-qualification application may be submitted to the commission by:</w:t>
      </w:r>
    </w:p>
    <w:p w14:paraId="57BF75E4">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1) in documentary form in a closed, glued envelope by the language of making pre-qualification application. On the envelope shall be indicated the following:</w:t>
      </w:r>
    </w:p>
    <w:p w14:paraId="1A3B790B">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a. The name of the client and the address (s) of the application submission;</w:t>
      </w:r>
    </w:p>
    <w:p w14:paraId="03F33557">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B. Procedure code.</w:t>
      </w:r>
    </w:p>
    <w:p w14:paraId="790C539D">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C. "Don’t open until the application opening".</w:t>
      </w:r>
    </w:p>
    <w:p w14:paraId="0B161610">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D. The participant's name (name), location and telephone number.</w:t>
      </w:r>
    </w:p>
    <w:p w14:paraId="75748BEA">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13. The applications of the Procedure must be submitted to the Committee not later than </w:t>
      </w:r>
      <w:r>
        <w:rPr>
          <w:rFonts w:ascii="GHEA Grapalat" w:hAnsi="GHEA Grapalat" w:cs="Sylfaen"/>
          <w:color w:val="FF0000"/>
          <w:sz w:val="19"/>
          <w:szCs w:val="19"/>
        </w:rPr>
        <w:t>12.08</w:t>
      </w:r>
      <w:r>
        <w:rPr>
          <w:rFonts w:ascii="GHEA Grapalat" w:hAnsi="GHEA Grapalat" w:cs="Sylfaen"/>
          <w:color w:val="FF0000"/>
          <w:sz w:val="19"/>
          <w:szCs w:val="19"/>
          <w:lang w:val="af-ZA"/>
        </w:rPr>
        <w:t>.2025</w:t>
      </w:r>
      <w:r>
        <w:rPr>
          <w:rFonts w:ascii="GHEA Grapalat" w:hAnsi="GHEA Grapalat" w:cs="Arial"/>
          <w:color w:val="FF0000"/>
          <w:sz w:val="20"/>
          <w:szCs w:val="20"/>
          <w:lang w:eastAsia="ru-RU"/>
        </w:rPr>
        <w:t xml:space="preserve"> at 11:00 am.</w:t>
      </w:r>
      <w:r>
        <w:rPr>
          <w:rFonts w:ascii="GHEA Grapalat" w:hAnsi="GHEA Grapalat" w:cs="Arial"/>
          <w:color w:val="222222"/>
          <w:sz w:val="20"/>
          <w:szCs w:val="20"/>
          <w:lang w:eastAsia="ru-RU"/>
        </w:rPr>
        <w:br w:type="textWrapping"/>
      </w:r>
      <w:r>
        <w:rPr>
          <w:rFonts w:ascii="GHEA Grapalat" w:hAnsi="GHEA Grapalat" w:cs="Arial"/>
          <w:color w:val="222222"/>
          <w:sz w:val="20"/>
          <w:szCs w:val="20"/>
          <w:lang w:eastAsia="ru-RU"/>
        </w:rPr>
        <w:t>Pre-qualification applications must be submitted to the Commission before the deadline prescribed in this paragraph by (</w:t>
      </w:r>
      <w:r>
        <w:rPr>
          <w:rFonts w:ascii="GHEA Grapalat" w:hAnsi="GHEA Grapalat"/>
          <w:color w:val="FF0000"/>
          <w:sz w:val="20"/>
          <w:szCs w:val="20"/>
        </w:rPr>
        <w:t>Department of Organization of Procurement of the Ministry of Defense of the RA located on Bagrevand 5, Yerevan, N 2075 room</w:t>
      </w:r>
      <w:r>
        <w:rPr>
          <w:rFonts w:ascii="GHEA Grapalat" w:hAnsi="GHEA Grapalat" w:cs="Arial"/>
          <w:color w:val="222222"/>
          <w:sz w:val="20"/>
          <w:szCs w:val="20"/>
          <w:lang w:eastAsia="ru-RU"/>
        </w:rPr>
        <w:t>).</w:t>
      </w:r>
    </w:p>
    <w:p w14:paraId="3AA34CD5">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14.  After receiving pre-qualification applications in documentary form they are being recorded in the register by the secretary of the commission, head Specialist of the </w:t>
      </w:r>
      <w:r>
        <w:rPr>
          <w:rFonts w:ascii="GHEA Grapalat" w:hAnsi="GHEA Grapalat"/>
          <w:color w:val="FF0000"/>
          <w:sz w:val="20"/>
          <w:szCs w:val="20"/>
        </w:rPr>
        <w:t>Organization</w:t>
      </w:r>
      <w:r>
        <w:rPr>
          <w:rFonts w:ascii="GHEA Grapalat" w:hAnsi="GHEA Grapalat"/>
          <w:sz w:val="20"/>
          <w:szCs w:val="20"/>
        </w:rPr>
        <w:t xml:space="preserve"> </w:t>
      </w:r>
      <w:r>
        <w:rPr>
          <w:rFonts w:ascii="GHEA Grapalat" w:hAnsi="GHEA Grapalat"/>
          <w:color w:val="FF0000"/>
          <w:sz w:val="20"/>
          <w:szCs w:val="20"/>
        </w:rPr>
        <w:t>of Procurement of the Ministry of Defense</w:t>
      </w:r>
      <w:r>
        <w:rPr>
          <w:rFonts w:ascii="GHEA Grapalat" w:hAnsi="GHEA Grapalat" w:cs="Arial"/>
          <w:color w:val="222222"/>
          <w:sz w:val="20"/>
          <w:szCs w:val="20"/>
          <w:lang w:eastAsia="ru-RU"/>
        </w:rPr>
        <w:t xml:space="preserve"> of the Republic of Armenia </w:t>
      </w:r>
      <w:r>
        <w:rPr>
          <w:rFonts w:ascii="GHEA Grapalat" w:hAnsi="GHEA Grapalat" w:cs="Arial"/>
          <w:color w:val="FF0000"/>
          <w:sz w:val="20"/>
          <w:szCs w:val="20"/>
          <w:lang w:eastAsia="ru-RU"/>
        </w:rPr>
        <w:t>T. Abrahamyan</w:t>
      </w:r>
      <w:r>
        <w:rPr>
          <w:rFonts w:ascii="GHEA Grapalat" w:hAnsi="GHEA Grapalat" w:cs="Arial"/>
          <w:color w:val="222222"/>
          <w:sz w:val="20"/>
          <w:szCs w:val="20"/>
          <w:lang w:eastAsia="ru-RU"/>
        </w:rPr>
        <w:t>.</w:t>
      </w:r>
    </w:p>
    <w:p w14:paraId="40A905A3">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14:paraId="61D01B00">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15. The Participant by the pre-qualification application submits:</w:t>
      </w:r>
    </w:p>
    <w:p w14:paraId="3463E696">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 a written application for participating in the pre-qualification procedure approved by him in accordance with Appendix N 1;</w:t>
      </w:r>
    </w:p>
    <w:p w14:paraId="4C12EF72">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2) a declaration confirming its compliance with the qualification criteria set forth in this Statement, in accordance with Appendix 2;</w:t>
      </w:r>
    </w:p>
    <w:p w14:paraId="08040034">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3) a copy of the joint activity contract if the participants participate in this procedure in a joint activity(consortium).</w:t>
      </w:r>
    </w:p>
    <w:p w14:paraId="530EC36D">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16. If the Participant submits a prequalification application:</w:t>
      </w:r>
    </w:p>
    <w:p w14:paraId="6B32587D">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 Since the application for pre-qualification is submitted by the participant documentarily, all documents included in the application, with the exception of the document provided for in paragraph 15 of subparagraph 3 of this announcement, are submitted from the original and two copies. The words "original" and "copy" are written on the package of documents. Instead of the original documents, copies of their notarized copies can be submitted.</w:t>
      </w:r>
    </w:p>
    <w:p w14:paraId="005443ED">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2) in electronic form, scanned versions of original documents are submitted.</w:t>
      </w:r>
    </w:p>
    <w:p w14:paraId="13741AC9">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17. Pre-qualification applications, besides Armenian, can also be submitted in English or Russian.</w:t>
      </w:r>
    </w:p>
    <w:p w14:paraId="3482F333">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14:paraId="5413EF4F">
      <w:pPr>
        <w:shd w:val="clear" w:color="auto" w:fill="FFFFFF"/>
        <w:spacing w:after="0" w:line="240" w:lineRule="auto"/>
        <w:ind w:right="-2"/>
        <w:jc w:val="both"/>
        <w:textAlignment w:val="top"/>
        <w:rPr>
          <w:rFonts w:ascii="GHEA Grapalat" w:hAnsi="GHEA Grapalat" w:cs="Arial"/>
          <w:color w:val="222222"/>
          <w:sz w:val="20"/>
          <w:szCs w:val="20"/>
          <w:lang w:eastAsia="ru-RU"/>
        </w:rPr>
      </w:pPr>
    </w:p>
    <w:p w14:paraId="6305A722">
      <w:pPr>
        <w:shd w:val="clear" w:color="auto" w:fill="FFFFFF"/>
        <w:spacing w:after="0" w:line="240" w:lineRule="auto"/>
        <w:ind w:right="-2"/>
        <w:jc w:val="center"/>
        <w:textAlignment w:val="top"/>
        <w:rPr>
          <w:rFonts w:ascii="GHEA Grapalat" w:hAnsi="GHEA Grapalat" w:cs="Arial"/>
          <w:b/>
          <w:color w:val="0070C0"/>
          <w:sz w:val="20"/>
          <w:szCs w:val="20"/>
        </w:rPr>
      </w:pPr>
      <w:r>
        <w:rPr>
          <w:rFonts w:ascii="GHEA Grapalat" w:hAnsi="GHEA Grapalat" w:cs="Arial"/>
          <w:b/>
          <w:color w:val="0070C0"/>
          <w:sz w:val="20"/>
          <w:szCs w:val="20"/>
        </w:rPr>
        <w:t>V. OPENING, EVALUATION AND SUMMARIZING OF PREQUALIFICATION APPLICATION;</w:t>
      </w:r>
    </w:p>
    <w:p w14:paraId="18FDECAD">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19. Opening, evaluation and summarizing the results of prequalification applications are taking place at the opening of the pre-qualification applications at </w:t>
      </w:r>
      <w:r>
        <w:rPr>
          <w:rFonts w:ascii="GHEA Grapalat" w:hAnsi="GHEA Grapalat" w:cs="Arial"/>
          <w:color w:val="FF0000"/>
          <w:sz w:val="20"/>
          <w:szCs w:val="20"/>
          <w:lang w:eastAsia="ru-RU"/>
        </w:rPr>
        <w:t xml:space="preserve">11:00 am, </w:t>
      </w:r>
      <w:r>
        <w:rPr>
          <w:rFonts w:ascii="GHEA Grapalat" w:hAnsi="GHEA Grapalat" w:cs="Sylfaen"/>
          <w:color w:val="FF0000"/>
          <w:sz w:val="19"/>
          <w:szCs w:val="19"/>
        </w:rPr>
        <w:t>12.08</w:t>
      </w:r>
      <w:r>
        <w:rPr>
          <w:rFonts w:ascii="GHEA Grapalat" w:hAnsi="GHEA Grapalat" w:cs="Sylfaen"/>
          <w:color w:val="FF0000"/>
          <w:sz w:val="19"/>
          <w:szCs w:val="19"/>
          <w:lang w:val="af-ZA"/>
        </w:rPr>
        <w:t>.2025</w:t>
      </w:r>
      <w:r>
        <w:rPr>
          <w:rFonts w:ascii="GHEA Grapalat" w:hAnsi="GHEA Grapalat" w:cs="Arial"/>
          <w:color w:val="222222"/>
          <w:sz w:val="20"/>
          <w:szCs w:val="20"/>
          <w:lang w:eastAsia="ru-RU"/>
        </w:rPr>
        <w:t xml:space="preserve"> In the meeting room </w:t>
      </w:r>
      <w:r>
        <w:rPr>
          <w:rFonts w:ascii="GHEA Grapalat" w:hAnsi="GHEA Grapalat"/>
          <w:color w:val="FF0000"/>
          <w:sz w:val="20"/>
          <w:szCs w:val="20"/>
        </w:rPr>
        <w:t>Department of Organization of Procurement of the Ministry of Defense of the RA</w:t>
      </w:r>
      <w:r>
        <w:rPr>
          <w:rFonts w:ascii="GHEA Grapalat" w:hAnsi="GHEA Grapalat" w:cs="Arial"/>
          <w:color w:val="222222"/>
          <w:sz w:val="20"/>
          <w:szCs w:val="20"/>
          <w:lang w:eastAsia="ru-RU"/>
        </w:rPr>
        <w:t xml:space="preserve"> locked Yerevan, Bagrevand 5.</w:t>
      </w:r>
    </w:p>
    <w:p w14:paraId="71709115">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20. In the session of  Opening and Evaluation of Prequalification  application:</w:t>
      </w:r>
    </w:p>
    <w:p w14:paraId="63FBEFC7">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 the commission secretary shall provide information about the records in the register and transfer to the chairman of the commission the register of the applications, other documents that are an integral part of it, the registered and (or) electronically submitted applications;</w:t>
      </w:r>
    </w:p>
    <w:p w14:paraId="2718696A">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2) After transferring the documents, referred to the subparagraph 1 of this point, to the chairman(chairman of the session), the Commission evaluates:</w:t>
      </w:r>
    </w:p>
    <w:p w14:paraId="3A429B9A">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Compilation of envelopes containing applications, and compliance with the established order and opening of evaluated applications;</w:t>
      </w:r>
    </w:p>
    <w:p w14:paraId="6BFC88C5">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a. Compilation of envelopes containing applications, and compliance with the established order and opening of corresponding evaluated applications;</w:t>
      </w:r>
    </w:p>
    <w:p w14:paraId="3D5678E3">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b. The existence of the required (prescribed) documents in each opened envelope, and the compliance of the documents with them, as well as the compliance of the documents submitted electronically, to the requisites set forth in this declaration.</w:t>
      </w:r>
    </w:p>
    <w:p w14:paraId="7DBCB1B4">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14:paraId="223950B2">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14:paraId="036C95EA">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Moreover mentioned in this point:</w:t>
      </w:r>
    </w:p>
    <w:p w14:paraId="6C042458">
      <w:pPr>
        <w:pStyle w:val="13"/>
        <w:shd w:val="clear" w:color="auto" w:fill="FFFFFF"/>
        <w:spacing w:line="240" w:lineRule="auto"/>
        <w:ind w:right="-2" w:firstLine="180"/>
        <w:rPr>
          <w:rFonts w:ascii="GHEA Grapalat" w:hAnsi="GHEA Grapalat" w:cs="Arial"/>
          <w:color w:val="222222"/>
          <w:sz w:val="20"/>
        </w:rPr>
      </w:pPr>
      <w:r>
        <w:rPr>
          <w:rFonts w:ascii="GHEA Grapalat" w:hAnsi="GHEA Grapalat" w:cs="Arial"/>
          <w:color w:val="222222"/>
          <w:sz w:val="20"/>
        </w:rPr>
        <w:t>1. The Recorded non-compliances are described mandatory and detailed in suggestion.</w:t>
      </w:r>
    </w:p>
    <w:p w14:paraId="11710E25">
      <w:pPr>
        <w:pStyle w:val="13"/>
        <w:shd w:val="clear" w:color="auto" w:fill="FFFFFF"/>
        <w:spacing w:line="240" w:lineRule="auto"/>
        <w:ind w:right="-2" w:firstLine="180"/>
        <w:rPr>
          <w:rFonts w:ascii="GHEA Grapalat" w:hAnsi="GHEA Grapalat" w:cs="Arial"/>
          <w:color w:val="222222"/>
          <w:sz w:val="20"/>
        </w:rPr>
      </w:pPr>
      <w:r>
        <w:rPr>
          <w:rFonts w:ascii="GHEA Grapalat" w:hAnsi="GHEA Grapalat" w:cs="Arial"/>
          <w:color w:val="222222"/>
          <w:sz w:val="20"/>
        </w:rPr>
        <w:t>2. The suggestion is sent to the participant’s e-mail indicated in the application by the e-mail address of the secretary mentioned in this announcement.</w:t>
      </w:r>
    </w:p>
    <w:p w14:paraId="04D9C0F5">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22. If the participant corrects the recorded </w:t>
      </w:r>
      <w:r>
        <w:rPr>
          <w:rFonts w:ascii="GHEA Grapalat" w:hAnsi="GHEA Grapalat" w:cs="Arial"/>
          <w:color w:val="222222"/>
          <w:sz w:val="20"/>
          <w:szCs w:val="20"/>
        </w:rPr>
        <w:t xml:space="preserve">non-compliances </w:t>
      </w:r>
      <w:r>
        <w:rPr>
          <w:rFonts w:ascii="GHEA Grapalat"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in a paper version, in a closed envelope glued together Yerevan Bagrevand 5 (</w:t>
      </w:r>
      <w:r>
        <w:rPr>
          <w:rFonts w:ascii="GHEA Grapalat" w:hAnsi="GHEA Grapalat" w:cs="Arial"/>
          <w:b/>
          <w:color w:val="222222"/>
          <w:sz w:val="20"/>
          <w:szCs w:val="20"/>
          <w:lang w:eastAsia="ru-RU"/>
        </w:rPr>
        <w:t>Department of Procurement Organization of the Ministry of Defense of the Republic of Armenia to the Secretary of the Commission, 2075 room</w:t>
      </w:r>
      <w:r>
        <w:rPr>
          <w:rFonts w:ascii="GHEA Grapalat" w:hAnsi="GHEA Grapalat" w:cs="Arial"/>
          <w:color w:val="222222"/>
          <w:sz w:val="20"/>
          <w:szCs w:val="20"/>
          <w:lang w:eastAsia="ru-RU"/>
        </w:rPr>
        <w:t>):</w:t>
      </w:r>
    </w:p>
    <w:p w14:paraId="4153E603">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 husband, child, brother, sister, grandmother, grandfather, grandson, as well as parent, child, brother, sister, grandmother, grandfather, grandson of husband) or an organization founded or owned by that person (share) has submitted an application for participation in the procedure.</w:t>
      </w:r>
      <w:r>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14:paraId="45B17C30">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14:paraId="5387CFE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 presents the scanned versions of the original of the commission's statements on the absence of a conflict of interest signed by him or the members of the opening of the applications in the bulletin;</w:t>
      </w:r>
    </w:p>
    <w:p w14:paraId="0E0A4554">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14:paraId="343B66FD">
      <w:pPr>
        <w:pStyle w:val="12"/>
        <w:shd w:val="clear" w:color="auto" w:fill="FFFFFF"/>
        <w:spacing w:after="0" w:line="240" w:lineRule="auto"/>
        <w:ind w:left="0"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rPr>
        <w:t xml:space="preserve">25. </w:t>
      </w:r>
      <w:r>
        <w:rPr>
          <w:rFonts w:ascii="GHEA Grapalat" w:hAnsi="GHEA Grapalat" w:cs="Arial"/>
          <w:color w:val="222222"/>
          <w:sz w:val="20"/>
          <w:szCs w:val="20"/>
          <w:lang w:eastAsia="ru-RU"/>
        </w:rPr>
        <w:t>The right to participate in a closed competition target participants included in the list of pre-qualified bidders who have permission to work with secret documents provided by the RA national security Service or service ensure the secrecy of the General staff of RA armed forces: 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w:t>
      </w:r>
    </w:p>
    <w:p w14:paraId="1DAB000F">
      <w:pPr>
        <w:pStyle w:val="15"/>
        <w:spacing w:after="0" w:line="240" w:lineRule="auto"/>
        <w:ind w:left="0" w:right="-2" w:firstLine="180"/>
        <w:jc w:val="both"/>
        <w:rPr>
          <w:rFonts w:ascii="GHEA Grapalat" w:hAnsi="GHEA Grapalat" w:cs="Arial"/>
          <w:color w:val="222222"/>
          <w:sz w:val="20"/>
          <w:szCs w:val="20"/>
        </w:rPr>
      </w:pPr>
      <w:r>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14:paraId="62FD2973">
      <w:pPr>
        <w:pStyle w:val="15"/>
        <w:spacing w:after="0" w:line="240" w:lineRule="auto"/>
        <w:ind w:left="0" w:right="-2" w:firstLine="180"/>
        <w:jc w:val="both"/>
        <w:rPr>
          <w:rFonts w:ascii="GHEA Grapalat" w:hAnsi="GHEA Grapalat" w:cs="Arial"/>
          <w:color w:val="222222"/>
          <w:sz w:val="20"/>
          <w:szCs w:val="20"/>
        </w:rPr>
      </w:pPr>
      <w:r>
        <w:rPr>
          <w:rFonts w:ascii="GHEA Grapalat" w:hAnsi="GHEA Grapalat" w:cs="Arial"/>
          <w:color w:val="222222"/>
          <w:sz w:val="20"/>
          <w:szCs w:val="20"/>
        </w:rPr>
        <w:t>26. An invitation to pre-qualified participants who submitted documents later after the deadline provided in paragraph 25 of this Statement shall not be provided, and the deadline for presenting announcements for a quotation requesttender shall be calculated from the day following the expiration of the period specified in the same paragraph.</w:t>
      </w:r>
    </w:p>
    <w:p w14:paraId="0CA8FF47">
      <w:pPr>
        <w:pStyle w:val="15"/>
        <w:spacing w:after="0" w:line="240" w:lineRule="auto"/>
        <w:ind w:left="0" w:right="-2"/>
        <w:jc w:val="both"/>
        <w:rPr>
          <w:rFonts w:ascii="Sylfaen" w:hAnsi="Sylfaen"/>
          <w:color w:val="00B050"/>
          <w:sz w:val="20"/>
          <w:szCs w:val="20"/>
        </w:rPr>
      </w:pPr>
      <w:r>
        <w:rPr>
          <w:rFonts w:ascii="GHEA Grapalat" w:hAnsi="GHEA Grapalat"/>
          <w:sz w:val="20"/>
          <w:szCs w:val="20"/>
        </w:rPr>
        <w:t xml:space="preserve">     27.</w:t>
      </w:r>
      <w:r>
        <w:rPr>
          <w:rFonts w:ascii="Sylfaen" w:hAnsi="Sylfaen"/>
          <w:color w:val="00B050"/>
          <w:sz w:val="20"/>
          <w:szCs w:val="20"/>
        </w:rPr>
        <w:t xml:space="preserve"> </w:t>
      </w:r>
      <w:r>
        <w:rPr>
          <w:rFonts w:ascii="GHEA Grapalat" w:hAnsi="GHEA Grapalat" w:cs="Arial"/>
          <w:color w:val="222222"/>
          <w:sz w:val="20"/>
          <w:szCs w:val="20"/>
        </w:rPr>
        <w:t>An appeal against this procedure is carried out in accordance with the RA Law on Procurement and the RA Civil Procedure Code.</w:t>
      </w:r>
    </w:p>
    <w:p w14:paraId="26293E1D">
      <w:pPr>
        <w:pStyle w:val="12"/>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Moreover, each</w:t>
      </w:r>
    </w:p>
    <w:p w14:paraId="04E0C2FE">
      <w:pPr>
        <w:pStyle w:val="12"/>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1) an interested person has the right to appeal the actions (inaction) and decisions of the client, the evaluation committee in accordance with the procedure established by the Civil Procedure Code of the Republic of Armenia;</w:t>
      </w:r>
    </w:p>
    <w:p w14:paraId="1800EED1">
      <w:pPr>
        <w:pStyle w:val="12"/>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2) anyone has the right to appeal the requirements of this announcement before the deadline for submission of applications in accordance with the procedure established by the Civil Procedure Code of the Republic of Armenia.</w:t>
      </w:r>
    </w:p>
    <w:p w14:paraId="458BA144">
      <w:pPr>
        <w:pStyle w:val="12"/>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The rates of state fees charged for appeals are defined by the Law "On State Fees".</w:t>
      </w:r>
    </w:p>
    <w:p w14:paraId="2171C76D">
      <w:pPr>
        <w:pStyle w:val="15"/>
        <w:spacing w:after="0" w:line="240" w:lineRule="auto"/>
        <w:ind w:left="0" w:right="-2" w:firstLine="180"/>
        <w:jc w:val="both"/>
        <w:rPr>
          <w:rFonts w:ascii="GHEA Grapalat" w:hAnsi="GHEA Grapalat"/>
          <w:sz w:val="20"/>
          <w:szCs w:val="20"/>
        </w:rPr>
      </w:pPr>
      <w:r>
        <w:rPr>
          <w:rFonts w:ascii="GHEA Grapalat" w:hAnsi="GHEA Grapalat"/>
          <w:sz w:val="20"/>
          <w:szCs w:val="20"/>
        </w:rPr>
        <w:t xml:space="preserve">For getting additional information concerning this announcement you can contact the Procurement Coordinator, head Specialist of the Department of Procurement documents of Logistic Support Department of the Ministry of Defence </w:t>
      </w:r>
      <w:r>
        <w:rPr>
          <w:rFonts w:ascii="GHEA Grapalat" w:hAnsi="GHEA Grapalat" w:cs="Arial"/>
          <w:color w:val="FF0000"/>
          <w:sz w:val="20"/>
          <w:szCs w:val="20"/>
          <w:lang w:eastAsia="ru-RU"/>
        </w:rPr>
        <w:t>T. Abrahamyan</w:t>
      </w:r>
      <w:r>
        <w:rPr>
          <w:rFonts w:ascii="GHEA Grapalat" w:hAnsi="GHEA Grapalat"/>
          <w:sz w:val="20"/>
          <w:szCs w:val="20"/>
        </w:rPr>
        <w:t>.</w:t>
      </w:r>
    </w:p>
    <w:p w14:paraId="45D5AD21">
      <w:pPr>
        <w:pStyle w:val="15"/>
        <w:spacing w:after="0" w:line="240" w:lineRule="auto"/>
        <w:ind w:left="0" w:right="-2"/>
        <w:jc w:val="both"/>
        <w:rPr>
          <w:rFonts w:ascii="GHEA Grapalat" w:hAnsi="GHEA Grapalat"/>
          <w:sz w:val="20"/>
          <w:szCs w:val="20"/>
        </w:rPr>
      </w:pPr>
    </w:p>
    <w:p w14:paraId="5E704E06">
      <w:pPr>
        <w:spacing w:after="0"/>
        <w:ind w:right="-2"/>
        <w:rPr>
          <w:rFonts w:ascii="GHEA Grapalat" w:hAnsi="GHEA Grapalat"/>
          <w:b/>
          <w:i/>
          <w:lang w:val="af-ZA"/>
        </w:rPr>
      </w:pPr>
      <w:r>
        <w:rPr>
          <w:rFonts w:ascii="GHEA Grapalat" w:hAnsi="GHEA Grapalat"/>
          <w:sz w:val="20"/>
          <w:szCs w:val="20"/>
        </w:rPr>
        <w:t xml:space="preserve">Phone: </w:t>
      </w:r>
      <w:r>
        <w:rPr>
          <w:rFonts w:ascii="GHEA Grapalat" w:hAnsi="GHEA Grapalat"/>
          <w:b/>
          <w:bCs/>
          <w:lang w:val="af-ZA"/>
        </w:rPr>
        <w:t>010-29 44 18</w:t>
      </w:r>
    </w:p>
    <w:p w14:paraId="60D9F444">
      <w:pPr>
        <w:spacing w:after="0"/>
        <w:ind w:right="-2"/>
        <w:jc w:val="both"/>
        <w:rPr>
          <w:rFonts w:ascii="GHEA Grapalat" w:hAnsi="GHEA Grapalat"/>
          <w:sz w:val="20"/>
          <w:szCs w:val="20"/>
        </w:rPr>
      </w:pPr>
      <w:r>
        <w:rPr>
          <w:rFonts w:ascii="GHEA Grapalat" w:hAnsi="GHEA Grapalat"/>
          <w:sz w:val="20"/>
          <w:szCs w:val="20"/>
        </w:rPr>
        <w:t xml:space="preserve">E-mail: </w:t>
      </w:r>
      <w:r>
        <w:fldChar w:fldCharType="begin"/>
      </w:r>
      <w:r>
        <w:instrText xml:space="preserve"> HYPERLINK "mailto:t.abrahamyan@mil.am" </w:instrText>
      </w:r>
      <w:r>
        <w:fldChar w:fldCharType="separate"/>
      </w:r>
      <w:r>
        <w:rPr>
          <w:rStyle w:val="10"/>
          <w:rFonts w:ascii="GHEA Grapalat" w:hAnsi="GHEA Grapalat"/>
          <w:b/>
          <w:sz w:val="20"/>
          <w:szCs w:val="20"/>
          <w:lang w:val="af-ZA"/>
        </w:rPr>
        <w:t>t.abrahamyan@mil.am</w:t>
      </w:r>
      <w:r>
        <w:rPr>
          <w:rStyle w:val="10"/>
          <w:rFonts w:ascii="GHEA Grapalat" w:hAnsi="GHEA Grapalat"/>
          <w:b/>
          <w:sz w:val="20"/>
          <w:szCs w:val="20"/>
          <w:lang w:val="af-ZA"/>
        </w:rPr>
        <w:fldChar w:fldCharType="end"/>
      </w:r>
      <w:r>
        <w:rPr>
          <w:rFonts w:ascii="Sylfaen" w:hAnsi="Sylfaen"/>
          <w:b/>
          <w:sz w:val="20"/>
          <w:szCs w:val="20"/>
        </w:rPr>
        <w:t>.</w:t>
      </w:r>
      <w:r>
        <w:rPr>
          <w:rFonts w:ascii="GHEA Grapalat" w:hAnsi="GHEA Grapalat"/>
          <w:b/>
          <w:sz w:val="20"/>
          <w:szCs w:val="20"/>
        </w:rPr>
        <w:t>.</w:t>
      </w:r>
    </w:p>
    <w:p w14:paraId="4717A3E1">
      <w:pPr>
        <w:spacing w:after="0"/>
        <w:ind w:right="-2"/>
        <w:jc w:val="both"/>
        <w:rPr>
          <w:rFonts w:ascii="GHEA Grapalat" w:hAnsi="GHEA Grapalat"/>
          <w:sz w:val="20"/>
          <w:szCs w:val="20"/>
        </w:rPr>
      </w:pPr>
      <w:r>
        <w:rPr>
          <w:rFonts w:ascii="GHEA Grapalat" w:hAnsi="GHEA Grapalat"/>
          <w:sz w:val="20"/>
          <w:szCs w:val="20"/>
        </w:rPr>
        <w:t xml:space="preserve">Client: </w:t>
      </w:r>
      <w:r>
        <w:rPr>
          <w:rFonts w:ascii="GHEA Grapalat" w:hAnsi="GHEA Grapalat"/>
          <w:b/>
          <w:sz w:val="20"/>
          <w:szCs w:val="20"/>
        </w:rPr>
        <w:t>Ministry of Defense of the Republic of Armenia</w:t>
      </w:r>
      <w:r>
        <w:rPr>
          <w:rFonts w:ascii="GHEA Grapalat" w:hAnsi="GHEA Grapalat"/>
          <w:sz w:val="20"/>
          <w:szCs w:val="20"/>
        </w:rPr>
        <w:t>.</w:t>
      </w:r>
    </w:p>
    <w:p w14:paraId="7F3FB02B">
      <w:pPr>
        <w:pStyle w:val="5"/>
        <w:spacing w:line="240" w:lineRule="auto"/>
        <w:ind w:right="-2" w:firstLine="0"/>
        <w:rPr>
          <w:rFonts w:ascii="GHEA Grapalat" w:hAnsi="GHEA Grapalat" w:cs="Arial"/>
          <w:color w:val="222222"/>
          <w:lang w:val="en-US"/>
        </w:rPr>
      </w:pPr>
    </w:p>
    <w:p w14:paraId="412A2589">
      <w:pPr>
        <w:pStyle w:val="5"/>
        <w:spacing w:line="240" w:lineRule="auto"/>
        <w:ind w:right="-2" w:firstLine="0"/>
        <w:rPr>
          <w:rFonts w:ascii="GHEA Grapalat" w:hAnsi="GHEA Grapalat" w:cs="Arial"/>
          <w:color w:val="222222"/>
          <w:lang w:val="en-US"/>
        </w:rPr>
      </w:pPr>
    </w:p>
    <w:p w14:paraId="7046F8E7">
      <w:pPr>
        <w:pStyle w:val="5"/>
        <w:spacing w:line="240" w:lineRule="auto"/>
        <w:ind w:right="-2" w:firstLine="0"/>
        <w:rPr>
          <w:rFonts w:ascii="GHEA Grapalat" w:hAnsi="GHEA Grapalat" w:cs="Arial"/>
          <w:color w:val="222222"/>
          <w:lang w:val="en-US"/>
        </w:rPr>
      </w:pPr>
    </w:p>
    <w:p w14:paraId="2D5405F4">
      <w:pPr>
        <w:pStyle w:val="5"/>
        <w:spacing w:line="240" w:lineRule="auto"/>
        <w:ind w:right="-2" w:firstLine="0"/>
        <w:rPr>
          <w:rFonts w:ascii="GHEA Grapalat" w:hAnsi="GHEA Grapalat" w:cs="Arial"/>
          <w:color w:val="222222"/>
          <w:lang w:val="en-US"/>
        </w:rPr>
      </w:pPr>
    </w:p>
    <w:p w14:paraId="1E5E3A7F">
      <w:pPr>
        <w:pStyle w:val="5"/>
        <w:spacing w:line="240" w:lineRule="auto"/>
        <w:ind w:right="-2" w:firstLine="0"/>
        <w:rPr>
          <w:rFonts w:ascii="GHEA Grapalat" w:hAnsi="GHEA Grapalat" w:cs="Arial"/>
          <w:color w:val="222222"/>
          <w:lang w:val="en-US"/>
        </w:rPr>
      </w:pPr>
    </w:p>
    <w:p w14:paraId="7FAFAE48">
      <w:pPr>
        <w:pStyle w:val="5"/>
        <w:spacing w:line="240" w:lineRule="auto"/>
        <w:ind w:right="-2" w:firstLine="0"/>
        <w:rPr>
          <w:rFonts w:ascii="GHEA Grapalat" w:hAnsi="GHEA Grapalat" w:cs="Arial"/>
          <w:color w:val="222222"/>
          <w:lang w:val="en-US"/>
        </w:rPr>
      </w:pPr>
    </w:p>
    <w:p w14:paraId="01D27528">
      <w:pPr>
        <w:jc w:val="right"/>
        <w:rPr>
          <w:rFonts w:ascii="Sylfaen" w:hAnsi="Sylfaen"/>
          <w:b/>
          <w:sz w:val="24"/>
          <w:szCs w:val="24"/>
        </w:rPr>
      </w:pPr>
      <w:r>
        <w:rPr>
          <w:rFonts w:ascii="Sylfaen" w:hAnsi="Sylfaen"/>
          <w:b/>
          <w:sz w:val="24"/>
          <w:szCs w:val="24"/>
        </w:rPr>
        <w:t>Appendix 1</w:t>
      </w:r>
    </w:p>
    <w:p w14:paraId="2344945C">
      <w:pPr>
        <w:jc w:val="right"/>
        <w:rPr>
          <w:rFonts w:ascii="Sylfaen" w:hAnsi="Sylfaen"/>
          <w:b/>
          <w:sz w:val="24"/>
          <w:szCs w:val="24"/>
        </w:rPr>
      </w:pPr>
    </w:p>
    <w:p w14:paraId="3A268484">
      <w:pPr>
        <w:jc w:val="right"/>
        <w:rPr>
          <w:rFonts w:ascii="Sylfaen" w:hAnsi="Sylfaen"/>
          <w:b/>
          <w:sz w:val="24"/>
          <w:szCs w:val="24"/>
        </w:rPr>
      </w:pPr>
    </w:p>
    <w:p w14:paraId="12A969A5">
      <w:pPr>
        <w:jc w:val="center"/>
        <w:rPr>
          <w:rFonts w:ascii="Sylfaen" w:hAnsi="Sylfaen"/>
          <w:b/>
          <w:sz w:val="24"/>
          <w:szCs w:val="24"/>
        </w:rPr>
      </w:pPr>
      <w:r>
        <w:rPr>
          <w:rFonts w:ascii="Sylfaen" w:hAnsi="Sylfaen"/>
          <w:b/>
          <w:sz w:val="24"/>
          <w:szCs w:val="24"/>
        </w:rPr>
        <w:t>Application for Participation</w:t>
      </w:r>
    </w:p>
    <w:p w14:paraId="09AF0390">
      <w:pPr>
        <w:jc w:val="center"/>
        <w:rPr>
          <w:rFonts w:ascii="Sylfaen" w:hAnsi="Sylfaen"/>
          <w:sz w:val="24"/>
          <w:szCs w:val="24"/>
        </w:rPr>
      </w:pPr>
    </w:p>
    <w:p w14:paraId="4F93626A">
      <w:pPr>
        <w:jc w:val="center"/>
        <w:rPr>
          <w:rFonts w:ascii="Sylfaen" w:hAnsi="Sylfaen"/>
          <w:sz w:val="24"/>
          <w:szCs w:val="24"/>
        </w:rPr>
      </w:pPr>
      <w:r>
        <w:rPr>
          <w:rFonts w:ascii="Sylfaen" w:hAnsi="Sylfaen"/>
          <w:sz w:val="24"/>
          <w:szCs w:val="24"/>
        </w:rPr>
        <w:t>_______________________________</w:t>
      </w:r>
      <w:r>
        <w:rPr>
          <w:rFonts w:ascii="Sylfaen" w:hAnsi="Sylfaen"/>
          <w:sz w:val="24"/>
          <w:szCs w:val="24"/>
          <w:vertAlign w:val="subscript"/>
        </w:rPr>
        <w:t xml:space="preserve">participant’sname </w:t>
      </w:r>
      <w:r>
        <w:rPr>
          <w:rFonts w:ascii="Sylfaen" w:hAnsi="Sylfaen"/>
          <w:sz w:val="24"/>
          <w:szCs w:val="24"/>
        </w:rPr>
        <w:t>_____________________________</w:t>
      </w:r>
    </w:p>
    <w:p w14:paraId="3F4160ED">
      <w:pPr>
        <w:jc w:val="both"/>
        <w:rPr>
          <w:rFonts w:ascii="Sylfaen" w:hAnsi="Sylfaen"/>
          <w:sz w:val="24"/>
          <w:szCs w:val="24"/>
        </w:rPr>
      </w:pPr>
      <w:r>
        <w:rPr>
          <w:rFonts w:ascii="Sylfaen" w:hAnsi="Sylfaen"/>
          <w:sz w:val="24"/>
          <w:szCs w:val="24"/>
        </w:rPr>
        <w:t>reports that wishes to take part in the pre-qualification procedure by the Ministry of Defense of RA, with a “</w:t>
      </w:r>
      <w:r>
        <w:rPr>
          <w:rFonts w:ascii="GHEA Grapalat" w:hAnsi="GHEA Grapalat"/>
          <w:b/>
          <w:color w:val="FF0000"/>
          <w:sz w:val="20"/>
          <w:szCs w:val="20"/>
        </w:rPr>
        <w:t>HH PN-</w:t>
      </w:r>
      <w:r>
        <w:t xml:space="preserve"> </w:t>
      </w:r>
      <w:r>
        <w:rPr>
          <w:rFonts w:ascii="GHEA Grapalat" w:hAnsi="GHEA Grapalat"/>
          <w:b/>
          <w:color w:val="FF0000"/>
          <w:sz w:val="20"/>
          <w:szCs w:val="20"/>
        </w:rPr>
        <w:t>PGHAPDZB-25-23/1</w:t>
      </w:r>
      <w:r>
        <w:rPr>
          <w:rFonts w:ascii="Sylfaen" w:hAnsi="Sylfaen"/>
          <w:sz w:val="24"/>
          <w:szCs w:val="24"/>
        </w:rPr>
        <w:t>”code, and presents the documents required by the announcement.</w:t>
      </w:r>
    </w:p>
    <w:p w14:paraId="25E860F9">
      <w:pPr>
        <w:jc w:val="both"/>
        <w:rPr>
          <w:rFonts w:ascii="Sylfaen" w:hAnsi="Sylfaen"/>
          <w:sz w:val="24"/>
          <w:szCs w:val="24"/>
        </w:rPr>
      </w:pPr>
    </w:p>
    <w:p w14:paraId="0BD90C30">
      <w:pPr>
        <w:jc w:val="both"/>
        <w:rPr>
          <w:rFonts w:ascii="Sylfaen" w:hAnsi="Sylfaen"/>
          <w:sz w:val="24"/>
          <w:szCs w:val="24"/>
        </w:rPr>
      </w:pPr>
    </w:p>
    <w:p w14:paraId="71F647F9">
      <w:pPr>
        <w:jc w:val="both"/>
        <w:rPr>
          <w:rFonts w:ascii="Sylfaen" w:hAnsi="Sylfaen"/>
          <w:sz w:val="24"/>
          <w:szCs w:val="24"/>
        </w:rPr>
      </w:pPr>
    </w:p>
    <w:p w14:paraId="067228D9">
      <w:pPr>
        <w:jc w:val="both"/>
        <w:rPr>
          <w:rFonts w:ascii="Sylfaen" w:hAnsi="Sylfaen"/>
          <w:sz w:val="24"/>
          <w:szCs w:val="24"/>
        </w:rPr>
      </w:pPr>
    </w:p>
    <w:p w14:paraId="5CD56A72">
      <w:pPr>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the name, surname of the participant</w:t>
      </w:r>
      <w:r>
        <w:rPr>
          <w:rFonts w:ascii="Sylfaen" w:hAnsi="Sylfaen"/>
          <w:sz w:val="24"/>
          <w:szCs w:val="24"/>
        </w:rPr>
        <w:t>______________</w:t>
      </w:r>
    </w:p>
    <w:p w14:paraId="4FDC87B7">
      <w:pPr>
        <w:jc w:val="both"/>
        <w:rPr>
          <w:rFonts w:ascii="Sylfaen" w:hAnsi="Sylfaen"/>
          <w:sz w:val="24"/>
          <w:szCs w:val="24"/>
        </w:rPr>
      </w:pPr>
    </w:p>
    <w:p w14:paraId="511CEE1C">
      <w:pPr>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e-mail</w:t>
      </w:r>
      <w:r>
        <w:rPr>
          <w:rFonts w:ascii="Sylfaen" w:hAnsi="Sylfaen"/>
          <w:sz w:val="24"/>
          <w:szCs w:val="24"/>
        </w:rPr>
        <w:t>______________</w:t>
      </w:r>
    </w:p>
    <w:p w14:paraId="398FC192">
      <w:pPr>
        <w:jc w:val="both"/>
        <w:rPr>
          <w:rFonts w:ascii="Sylfaen" w:hAnsi="Sylfaen"/>
          <w:sz w:val="24"/>
          <w:szCs w:val="24"/>
        </w:rPr>
      </w:pPr>
    </w:p>
    <w:p w14:paraId="1DCE201F">
      <w:pPr>
        <w:jc w:val="both"/>
        <w:rPr>
          <w:rFonts w:ascii="Sylfaen" w:hAnsi="Sylfaen"/>
          <w:sz w:val="24"/>
          <w:szCs w:val="24"/>
        </w:rPr>
      </w:pPr>
    </w:p>
    <w:p w14:paraId="5EECDD44">
      <w:pPr>
        <w:jc w:val="right"/>
        <w:rPr>
          <w:rFonts w:ascii="Sylfaen" w:hAnsi="Sylfaen"/>
          <w:sz w:val="24"/>
          <w:szCs w:val="24"/>
        </w:rPr>
      </w:pPr>
      <w:r>
        <w:rPr>
          <w:rFonts w:ascii="Sylfaen" w:hAnsi="Sylfaen"/>
          <w:sz w:val="24"/>
          <w:szCs w:val="24"/>
        </w:rPr>
        <w:t>_____</w:t>
      </w:r>
      <w:r>
        <w:rPr>
          <w:rFonts w:ascii="Sylfaen" w:hAnsi="Sylfaen"/>
          <w:sz w:val="24"/>
          <w:szCs w:val="24"/>
          <w:vertAlign w:val="subscript"/>
        </w:rPr>
        <w:t>signature</w:t>
      </w:r>
      <w:r>
        <w:rPr>
          <w:rFonts w:ascii="Sylfaen" w:hAnsi="Sylfaen"/>
          <w:sz w:val="24"/>
          <w:szCs w:val="24"/>
        </w:rPr>
        <w:t>______</w:t>
      </w:r>
    </w:p>
    <w:p w14:paraId="3E29B6C4">
      <w:pPr>
        <w:jc w:val="right"/>
        <w:rPr>
          <w:rFonts w:ascii="Sylfaen" w:hAnsi="Sylfaen"/>
          <w:sz w:val="24"/>
          <w:szCs w:val="24"/>
        </w:rPr>
      </w:pPr>
      <w:r>
        <w:rPr>
          <w:rFonts w:ascii="Sylfaen" w:hAnsi="Sylfaen"/>
          <w:sz w:val="24"/>
          <w:szCs w:val="24"/>
        </w:rPr>
        <w:t>_____________</w:t>
      </w:r>
      <w:r>
        <w:rPr>
          <w:rFonts w:ascii="Sylfaen" w:hAnsi="Sylfaen"/>
          <w:sz w:val="24"/>
          <w:szCs w:val="24"/>
          <w:vertAlign w:val="subscript"/>
        </w:rPr>
        <w:t>date</w:t>
      </w:r>
      <w:r>
        <w:rPr>
          <w:rFonts w:ascii="Sylfaen" w:hAnsi="Sylfaen"/>
          <w:sz w:val="24"/>
          <w:szCs w:val="24"/>
        </w:rPr>
        <w:t>______2025</w:t>
      </w:r>
    </w:p>
    <w:p w14:paraId="64F2F21D">
      <w:pPr>
        <w:jc w:val="right"/>
        <w:rPr>
          <w:rFonts w:ascii="Sylfaen" w:hAnsi="Sylfaen"/>
          <w:sz w:val="24"/>
          <w:szCs w:val="24"/>
        </w:rPr>
      </w:pPr>
    </w:p>
    <w:p w14:paraId="716613BA">
      <w:pPr>
        <w:pStyle w:val="5"/>
        <w:spacing w:line="240" w:lineRule="auto"/>
        <w:ind w:right="-2" w:firstLine="0"/>
        <w:rPr>
          <w:rFonts w:ascii="GHEA Grapalat" w:hAnsi="GHEA Grapalat" w:cs="Arial"/>
          <w:color w:val="222222"/>
          <w:lang w:val="en-US"/>
        </w:rPr>
      </w:pPr>
    </w:p>
    <w:p w14:paraId="0F810027">
      <w:pPr>
        <w:pStyle w:val="5"/>
        <w:spacing w:line="240" w:lineRule="auto"/>
        <w:ind w:right="-2" w:firstLine="0"/>
        <w:rPr>
          <w:rFonts w:ascii="GHEA Grapalat" w:hAnsi="GHEA Grapalat" w:cs="Arial"/>
          <w:color w:val="222222"/>
          <w:lang w:val="en-US"/>
        </w:rPr>
      </w:pPr>
    </w:p>
    <w:p w14:paraId="2095DD79">
      <w:pPr>
        <w:pStyle w:val="5"/>
        <w:spacing w:line="240" w:lineRule="auto"/>
        <w:ind w:right="-2" w:firstLine="0"/>
        <w:rPr>
          <w:rFonts w:ascii="GHEA Grapalat" w:hAnsi="GHEA Grapalat" w:cs="Arial"/>
          <w:color w:val="222222"/>
          <w:lang w:val="en-US"/>
        </w:rPr>
      </w:pPr>
    </w:p>
    <w:p w14:paraId="019C90EF">
      <w:pPr>
        <w:pStyle w:val="5"/>
        <w:spacing w:line="240" w:lineRule="auto"/>
        <w:ind w:right="-2" w:firstLine="0"/>
        <w:rPr>
          <w:rFonts w:ascii="GHEA Grapalat" w:hAnsi="GHEA Grapalat" w:cs="Arial"/>
          <w:color w:val="222222"/>
          <w:lang w:val="en-US"/>
        </w:rPr>
      </w:pPr>
    </w:p>
    <w:p w14:paraId="3B18B7AA">
      <w:pPr>
        <w:pStyle w:val="5"/>
        <w:spacing w:line="240" w:lineRule="auto"/>
        <w:ind w:right="-2" w:firstLine="0"/>
        <w:rPr>
          <w:rFonts w:ascii="GHEA Grapalat" w:hAnsi="GHEA Grapalat" w:cs="Arial"/>
          <w:color w:val="222222"/>
          <w:lang w:val="en-US"/>
        </w:rPr>
      </w:pPr>
    </w:p>
    <w:p w14:paraId="09EC486C">
      <w:pPr>
        <w:pStyle w:val="5"/>
        <w:spacing w:line="240" w:lineRule="auto"/>
        <w:ind w:right="-2" w:firstLine="0"/>
        <w:rPr>
          <w:rFonts w:ascii="GHEA Grapalat" w:hAnsi="GHEA Grapalat" w:cs="Arial"/>
          <w:color w:val="222222"/>
          <w:lang w:val="en-US"/>
        </w:rPr>
      </w:pPr>
    </w:p>
    <w:p w14:paraId="1540E569">
      <w:pPr>
        <w:pStyle w:val="5"/>
        <w:spacing w:line="240" w:lineRule="auto"/>
        <w:ind w:right="-2" w:firstLine="0"/>
        <w:rPr>
          <w:rFonts w:ascii="GHEA Grapalat" w:hAnsi="GHEA Grapalat" w:cs="Arial"/>
          <w:color w:val="222222"/>
          <w:lang w:val="en-US"/>
        </w:rPr>
      </w:pPr>
    </w:p>
    <w:p w14:paraId="7CF0B737">
      <w:pPr>
        <w:pStyle w:val="5"/>
        <w:spacing w:line="240" w:lineRule="auto"/>
        <w:ind w:right="-2" w:firstLine="0"/>
        <w:rPr>
          <w:rFonts w:ascii="GHEA Grapalat" w:hAnsi="GHEA Grapalat" w:cs="Arial"/>
          <w:color w:val="222222"/>
          <w:lang w:val="en-US"/>
        </w:rPr>
      </w:pPr>
    </w:p>
    <w:p w14:paraId="3A920E35">
      <w:pPr>
        <w:pStyle w:val="5"/>
        <w:spacing w:line="240" w:lineRule="auto"/>
        <w:ind w:right="-2" w:firstLine="0"/>
        <w:rPr>
          <w:rFonts w:ascii="GHEA Grapalat" w:hAnsi="GHEA Grapalat" w:cs="Arial"/>
          <w:color w:val="222222"/>
          <w:lang w:val="en-US"/>
        </w:rPr>
      </w:pPr>
    </w:p>
    <w:p w14:paraId="1B4D62F4">
      <w:pPr>
        <w:pStyle w:val="5"/>
        <w:spacing w:line="240" w:lineRule="auto"/>
        <w:ind w:right="-2" w:firstLine="0"/>
        <w:rPr>
          <w:rFonts w:ascii="GHEA Grapalat" w:hAnsi="GHEA Grapalat" w:cs="Arial"/>
          <w:color w:val="222222"/>
          <w:lang w:val="en-US"/>
        </w:rPr>
      </w:pPr>
    </w:p>
    <w:p w14:paraId="324C0C1A">
      <w:pPr>
        <w:pStyle w:val="5"/>
        <w:spacing w:line="240" w:lineRule="auto"/>
        <w:ind w:right="-2" w:firstLine="0"/>
        <w:rPr>
          <w:rFonts w:ascii="GHEA Grapalat" w:hAnsi="GHEA Grapalat" w:cs="Arial"/>
          <w:color w:val="222222"/>
          <w:lang w:val="en-US"/>
        </w:rPr>
      </w:pPr>
    </w:p>
    <w:p w14:paraId="55BDE689">
      <w:pPr>
        <w:pStyle w:val="5"/>
        <w:spacing w:line="240" w:lineRule="auto"/>
        <w:ind w:right="-2" w:firstLine="0"/>
        <w:rPr>
          <w:rFonts w:ascii="GHEA Grapalat" w:hAnsi="GHEA Grapalat" w:cs="Arial"/>
          <w:color w:val="222222"/>
          <w:lang w:val="en-US"/>
        </w:rPr>
      </w:pPr>
    </w:p>
    <w:p w14:paraId="4FB34A89">
      <w:pPr>
        <w:pStyle w:val="5"/>
        <w:spacing w:line="240" w:lineRule="auto"/>
        <w:ind w:right="-2" w:firstLine="0"/>
        <w:rPr>
          <w:rFonts w:ascii="GHEA Grapalat" w:hAnsi="GHEA Grapalat" w:cs="Arial"/>
          <w:color w:val="222222"/>
          <w:lang w:val="en-US"/>
        </w:rPr>
      </w:pPr>
    </w:p>
    <w:p w14:paraId="571C07C3">
      <w:pPr>
        <w:pStyle w:val="5"/>
        <w:spacing w:line="240" w:lineRule="auto"/>
        <w:ind w:right="-2" w:firstLine="0"/>
        <w:rPr>
          <w:rFonts w:ascii="GHEA Grapalat" w:hAnsi="GHEA Grapalat" w:cs="Arial"/>
          <w:color w:val="222222"/>
          <w:lang w:val="en-US"/>
        </w:rPr>
      </w:pPr>
    </w:p>
    <w:p w14:paraId="12BC0534">
      <w:pPr>
        <w:pStyle w:val="5"/>
        <w:spacing w:line="240" w:lineRule="auto"/>
        <w:ind w:right="-2" w:firstLine="0"/>
        <w:rPr>
          <w:rFonts w:ascii="GHEA Grapalat" w:hAnsi="GHEA Grapalat" w:cs="Arial"/>
          <w:color w:val="222222"/>
          <w:lang w:val="en-US"/>
        </w:rPr>
      </w:pPr>
    </w:p>
    <w:p w14:paraId="249AABA5">
      <w:pPr>
        <w:pStyle w:val="5"/>
        <w:spacing w:line="240" w:lineRule="auto"/>
        <w:ind w:right="-2" w:firstLine="0"/>
        <w:rPr>
          <w:rFonts w:ascii="GHEA Grapalat" w:hAnsi="GHEA Grapalat" w:cs="Arial"/>
          <w:color w:val="222222"/>
          <w:lang w:val="en-US"/>
        </w:rPr>
      </w:pPr>
    </w:p>
    <w:p w14:paraId="68FBE217">
      <w:pPr>
        <w:pStyle w:val="5"/>
        <w:spacing w:line="240" w:lineRule="auto"/>
        <w:ind w:right="-2" w:firstLine="0"/>
        <w:rPr>
          <w:rFonts w:ascii="GHEA Grapalat" w:hAnsi="GHEA Grapalat" w:cs="Arial"/>
          <w:color w:val="222222"/>
          <w:lang w:val="en-US"/>
        </w:rPr>
      </w:pPr>
    </w:p>
    <w:p w14:paraId="168C152C">
      <w:pPr>
        <w:pStyle w:val="5"/>
        <w:spacing w:line="240" w:lineRule="auto"/>
        <w:ind w:right="-2" w:firstLine="0"/>
        <w:rPr>
          <w:rFonts w:ascii="GHEA Grapalat" w:hAnsi="GHEA Grapalat" w:cs="Arial"/>
          <w:color w:val="222222"/>
          <w:lang w:val="en-US"/>
        </w:rPr>
      </w:pPr>
    </w:p>
    <w:p w14:paraId="5C503792">
      <w:pPr>
        <w:pStyle w:val="5"/>
        <w:spacing w:line="240" w:lineRule="auto"/>
        <w:ind w:right="-2" w:firstLine="0"/>
        <w:rPr>
          <w:rFonts w:ascii="GHEA Grapalat" w:hAnsi="GHEA Grapalat" w:cs="Arial"/>
          <w:color w:val="222222"/>
          <w:lang w:val="en-US"/>
        </w:rPr>
      </w:pPr>
    </w:p>
    <w:p w14:paraId="65943E0E">
      <w:pPr>
        <w:spacing w:line="240" w:lineRule="auto"/>
        <w:jc w:val="right"/>
        <w:rPr>
          <w:rFonts w:ascii="Sylfaen" w:hAnsi="Sylfaen"/>
          <w:b/>
          <w:sz w:val="24"/>
          <w:szCs w:val="24"/>
        </w:rPr>
      </w:pPr>
      <w:r>
        <w:rPr>
          <w:rFonts w:ascii="Sylfaen" w:hAnsi="Sylfaen"/>
          <w:b/>
          <w:sz w:val="24"/>
          <w:szCs w:val="24"/>
        </w:rPr>
        <w:t>Appendix 2</w:t>
      </w:r>
    </w:p>
    <w:p w14:paraId="492E171B">
      <w:pPr>
        <w:spacing w:line="240" w:lineRule="auto"/>
        <w:jc w:val="center"/>
        <w:rPr>
          <w:rFonts w:ascii="Sylfaen" w:hAnsi="Sylfaen"/>
          <w:b/>
          <w:sz w:val="24"/>
          <w:szCs w:val="24"/>
        </w:rPr>
      </w:pPr>
      <w:r>
        <w:rPr>
          <w:rFonts w:ascii="Sylfaen" w:hAnsi="Sylfaen"/>
          <w:b/>
          <w:sz w:val="24"/>
          <w:szCs w:val="24"/>
        </w:rPr>
        <w:t>Announcement</w:t>
      </w:r>
    </w:p>
    <w:p w14:paraId="7DCFC315">
      <w:pPr>
        <w:spacing w:line="240" w:lineRule="auto"/>
        <w:jc w:val="center"/>
        <w:rPr>
          <w:rFonts w:ascii="Sylfaen" w:hAnsi="Sylfaen"/>
          <w:sz w:val="24"/>
          <w:szCs w:val="24"/>
        </w:rPr>
      </w:pPr>
      <w:r>
        <w:rPr>
          <w:rFonts w:ascii="Sylfaen" w:hAnsi="Sylfaen"/>
          <w:sz w:val="24"/>
          <w:szCs w:val="24"/>
        </w:rPr>
        <w:t>About qualification standards “Activities provided by the contract corresponding to the professional activities”</w:t>
      </w:r>
    </w:p>
    <w:p w14:paraId="46961C2E">
      <w:pPr>
        <w:spacing w:line="240" w:lineRule="auto"/>
        <w:jc w:val="center"/>
        <w:rPr>
          <w:rFonts w:ascii="Sylfaen" w:hAnsi="Sylfaen"/>
          <w:sz w:val="24"/>
          <w:szCs w:val="24"/>
        </w:rPr>
      </w:pPr>
    </w:p>
    <w:p w14:paraId="33C65EC7">
      <w:pPr>
        <w:spacing w:line="240" w:lineRule="auto"/>
        <w:jc w:val="both"/>
        <w:rPr>
          <w:rFonts w:ascii="Sylfaen" w:hAnsi="Sylfaen"/>
          <w:sz w:val="24"/>
          <w:szCs w:val="24"/>
        </w:rPr>
      </w:pPr>
      <w:r>
        <w:rPr>
          <w:rFonts w:ascii="Sylfaen" w:hAnsi="Sylfaen"/>
          <w:sz w:val="24"/>
          <w:szCs w:val="24"/>
        </w:rPr>
        <w:t>Hereby__________________________________</w:t>
      </w:r>
      <w:r>
        <w:rPr>
          <w:rFonts w:ascii="Sylfaen" w:hAnsi="Sylfaen"/>
          <w:sz w:val="24"/>
          <w:szCs w:val="24"/>
          <w:vertAlign w:val="subscript"/>
        </w:rPr>
        <w:t xml:space="preserve">participant’sname </w:t>
      </w:r>
      <w:r>
        <w:rPr>
          <w:rFonts w:ascii="Sylfaen" w:hAnsi="Sylfaen"/>
          <w:sz w:val="24"/>
          <w:szCs w:val="24"/>
        </w:rPr>
        <w:t>____________________________</w:t>
      </w:r>
    </w:p>
    <w:p w14:paraId="44CAAD11">
      <w:pPr>
        <w:spacing w:line="240" w:lineRule="auto"/>
        <w:jc w:val="both"/>
        <w:rPr>
          <w:rFonts w:ascii="Sylfaen" w:hAnsi="Sylfaen"/>
          <w:sz w:val="24"/>
          <w:szCs w:val="24"/>
        </w:rPr>
      </w:pPr>
      <w:r>
        <w:rPr>
          <w:rFonts w:ascii="Sylfaen" w:hAnsi="Sylfaen"/>
          <w:sz w:val="24"/>
          <w:szCs w:val="24"/>
        </w:rPr>
        <w:t>announces that during the current(application presented) and the previous 3 years  has properly executed contracts bellow. .</w:t>
      </w:r>
    </w:p>
    <w:p w14:paraId="48F61770">
      <w:pPr>
        <w:jc w:val="both"/>
        <w:rPr>
          <w:rFonts w:ascii="Sylfaen" w:hAnsi="Sylfaen"/>
          <w:sz w:val="24"/>
          <w:szCs w:val="24"/>
        </w:rPr>
      </w:pPr>
    </w:p>
    <w:tbl>
      <w:tblPr>
        <w:tblStyle w:val="3"/>
        <w:tblW w:w="9108"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3600"/>
      </w:tblGrid>
      <w:tr w14:paraId="226F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9108" w:type="dxa"/>
            <w:gridSpan w:val="2"/>
            <w:vAlign w:val="center"/>
          </w:tcPr>
          <w:p w14:paraId="663D24A9">
            <w:pPr>
              <w:spacing w:after="0" w:line="240" w:lineRule="auto"/>
              <w:jc w:val="center"/>
              <w:rPr>
                <w:rFonts w:ascii="Sylfaen" w:hAnsi="Sylfaen"/>
                <w:sz w:val="24"/>
                <w:szCs w:val="24"/>
              </w:rPr>
            </w:pPr>
            <w:r>
              <w:rPr>
                <w:rFonts w:ascii="Sylfaen" w:hAnsi="Sylfaen" w:cs="Sylfaen"/>
                <w:sz w:val="24"/>
                <w:szCs w:val="24"/>
              </w:rPr>
              <w:t>Previously executed contracts</w:t>
            </w:r>
          </w:p>
        </w:tc>
      </w:tr>
      <w:tr w14:paraId="562E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vAlign w:val="center"/>
          </w:tcPr>
          <w:p w14:paraId="4CBE2D37">
            <w:pPr>
              <w:spacing w:after="0" w:line="240" w:lineRule="auto"/>
              <w:jc w:val="center"/>
              <w:rPr>
                <w:rFonts w:ascii="Sylfaen" w:hAnsi="Sylfaen"/>
                <w:sz w:val="24"/>
                <w:szCs w:val="24"/>
              </w:rPr>
            </w:pPr>
            <w:r>
              <w:rPr>
                <w:rFonts w:ascii="Sylfaen" w:hAnsi="Sylfaen"/>
                <w:sz w:val="24"/>
                <w:szCs w:val="24"/>
              </w:rPr>
              <w:t>Subject</w:t>
            </w:r>
          </w:p>
        </w:tc>
        <w:tc>
          <w:tcPr>
            <w:tcW w:w="3600" w:type="dxa"/>
            <w:vAlign w:val="center"/>
          </w:tcPr>
          <w:p w14:paraId="3A7AB193">
            <w:pPr>
              <w:spacing w:after="0" w:line="240" w:lineRule="auto"/>
              <w:jc w:val="center"/>
              <w:rPr>
                <w:rFonts w:ascii="Sylfaen" w:hAnsi="Sylfaen"/>
                <w:sz w:val="24"/>
                <w:szCs w:val="24"/>
              </w:rPr>
            </w:pPr>
            <w:r>
              <w:rPr>
                <w:rFonts w:ascii="Sylfaen" w:hAnsi="Sylfaen"/>
                <w:sz w:val="24"/>
                <w:szCs w:val="24"/>
              </w:rPr>
              <w:t>Customer’s contact data</w:t>
            </w:r>
          </w:p>
        </w:tc>
      </w:tr>
      <w:tr w14:paraId="4D50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108" w:type="dxa"/>
            <w:gridSpan w:val="2"/>
            <w:vAlign w:val="center"/>
          </w:tcPr>
          <w:p w14:paraId="56F95E91">
            <w:pPr>
              <w:spacing w:after="0" w:line="240" w:lineRule="auto"/>
              <w:jc w:val="center"/>
              <w:rPr>
                <w:rFonts w:ascii="Sylfaen" w:hAnsi="Sylfaen"/>
                <w:sz w:val="24"/>
                <w:szCs w:val="24"/>
              </w:rPr>
            </w:pPr>
            <w:r>
              <w:rPr>
                <w:rStyle w:val="19"/>
                <w:rFonts w:ascii="Sylfaen" w:hAnsi="Sylfaen" w:cs="Arial"/>
                <w:color w:val="000000"/>
                <w:sz w:val="24"/>
                <w:szCs w:val="24"/>
              </w:rPr>
              <w:t>Date</w:t>
            </w:r>
            <w:r>
              <w:rPr>
                <w:rStyle w:val="21"/>
                <w:rFonts w:ascii="Sylfaen" w:hAnsi="Sylfaen" w:cs="Arial"/>
                <w:color w:val="000000"/>
                <w:sz w:val="24"/>
                <w:szCs w:val="24"/>
              </w:rPr>
              <w:t>,</w:t>
            </w:r>
            <w:r>
              <w:rPr>
                <w:rStyle w:val="20"/>
                <w:rFonts w:ascii="Sylfaen" w:hAnsi="Sylfaen" w:cs="Arial"/>
                <w:color w:val="000000"/>
                <w:sz w:val="24"/>
                <w:szCs w:val="24"/>
              </w:rPr>
              <w:t> </w:t>
            </w:r>
            <w:r>
              <w:rPr>
                <w:rStyle w:val="19"/>
                <w:rFonts w:ascii="Sylfaen" w:hAnsi="Sylfaen" w:cs="Arial"/>
                <w:color w:val="000000"/>
                <w:sz w:val="24"/>
                <w:szCs w:val="24"/>
              </w:rPr>
              <w:t>year</w:t>
            </w:r>
            <w:r>
              <w:rPr>
                <w:rFonts w:ascii="Sylfaen" w:hAnsi="Sylfaen"/>
                <w:sz w:val="24"/>
                <w:szCs w:val="24"/>
              </w:rPr>
              <w:t xml:space="preserve"> ` ...........    </w:t>
            </w:r>
          </w:p>
        </w:tc>
      </w:tr>
      <w:tr w14:paraId="18C3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277F96BD">
            <w:pPr>
              <w:spacing w:after="0" w:line="240" w:lineRule="auto"/>
              <w:jc w:val="both"/>
              <w:rPr>
                <w:rFonts w:ascii="Sylfaen" w:hAnsi="Sylfaen"/>
                <w:sz w:val="24"/>
                <w:szCs w:val="24"/>
              </w:rPr>
            </w:pPr>
            <w:r>
              <w:rPr>
                <w:rFonts w:ascii="Sylfaen" w:hAnsi="Sylfaen"/>
                <w:sz w:val="24"/>
                <w:szCs w:val="24"/>
              </w:rPr>
              <w:t>1.</w:t>
            </w:r>
          </w:p>
        </w:tc>
        <w:tc>
          <w:tcPr>
            <w:tcW w:w="3600" w:type="dxa"/>
          </w:tcPr>
          <w:p w14:paraId="64FF297A">
            <w:pPr>
              <w:spacing w:after="0" w:line="240" w:lineRule="auto"/>
              <w:jc w:val="both"/>
              <w:rPr>
                <w:rFonts w:ascii="Sylfaen" w:hAnsi="Sylfaen"/>
                <w:sz w:val="24"/>
                <w:szCs w:val="24"/>
              </w:rPr>
            </w:pPr>
          </w:p>
        </w:tc>
      </w:tr>
      <w:tr w14:paraId="3318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1FB49C41">
            <w:pPr>
              <w:spacing w:after="0" w:line="240" w:lineRule="auto"/>
              <w:jc w:val="both"/>
              <w:rPr>
                <w:rFonts w:ascii="Sylfaen" w:hAnsi="Sylfaen"/>
                <w:sz w:val="24"/>
                <w:szCs w:val="24"/>
              </w:rPr>
            </w:pPr>
            <w:r>
              <w:rPr>
                <w:rFonts w:ascii="Sylfaen" w:hAnsi="Sylfaen"/>
                <w:sz w:val="24"/>
                <w:szCs w:val="24"/>
              </w:rPr>
              <w:t>2.</w:t>
            </w:r>
          </w:p>
        </w:tc>
        <w:tc>
          <w:tcPr>
            <w:tcW w:w="3600" w:type="dxa"/>
          </w:tcPr>
          <w:p w14:paraId="0FA9D5AE">
            <w:pPr>
              <w:spacing w:after="0" w:line="240" w:lineRule="auto"/>
              <w:jc w:val="both"/>
              <w:rPr>
                <w:rFonts w:ascii="Sylfaen" w:hAnsi="Sylfaen"/>
                <w:sz w:val="24"/>
                <w:szCs w:val="24"/>
              </w:rPr>
            </w:pPr>
          </w:p>
        </w:tc>
      </w:tr>
      <w:tr w14:paraId="40DD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3C9A0B06">
            <w:pPr>
              <w:spacing w:after="0" w:line="240" w:lineRule="auto"/>
              <w:jc w:val="both"/>
              <w:rPr>
                <w:rFonts w:ascii="Sylfaen" w:hAnsi="Sylfaen"/>
                <w:sz w:val="24"/>
                <w:szCs w:val="24"/>
              </w:rPr>
            </w:pPr>
            <w:r>
              <w:rPr>
                <w:rFonts w:ascii="Sylfaen" w:hAnsi="Sylfaen"/>
                <w:sz w:val="24"/>
                <w:szCs w:val="24"/>
              </w:rPr>
              <w:t>..</w:t>
            </w:r>
          </w:p>
        </w:tc>
        <w:tc>
          <w:tcPr>
            <w:tcW w:w="3600" w:type="dxa"/>
          </w:tcPr>
          <w:p w14:paraId="5D7FA9A1">
            <w:pPr>
              <w:spacing w:after="0" w:line="240" w:lineRule="auto"/>
              <w:jc w:val="both"/>
              <w:rPr>
                <w:rFonts w:ascii="Sylfaen" w:hAnsi="Sylfaen"/>
                <w:sz w:val="24"/>
                <w:szCs w:val="24"/>
              </w:rPr>
            </w:pPr>
          </w:p>
        </w:tc>
      </w:tr>
      <w:tr w14:paraId="0F26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108" w:type="dxa"/>
            <w:gridSpan w:val="2"/>
            <w:vAlign w:val="center"/>
          </w:tcPr>
          <w:p w14:paraId="50B57B82">
            <w:pPr>
              <w:spacing w:after="0" w:line="240" w:lineRule="auto"/>
              <w:jc w:val="center"/>
              <w:rPr>
                <w:rFonts w:ascii="Sylfaen" w:hAnsi="Sylfaen"/>
                <w:sz w:val="24"/>
                <w:szCs w:val="24"/>
              </w:rPr>
            </w:pPr>
            <w:r>
              <w:rPr>
                <w:rStyle w:val="19"/>
                <w:rFonts w:ascii="Sylfaen" w:hAnsi="Sylfaen" w:cs="Arial"/>
                <w:color w:val="000000"/>
                <w:sz w:val="24"/>
                <w:szCs w:val="24"/>
              </w:rPr>
              <w:t>Date</w:t>
            </w:r>
            <w:r>
              <w:rPr>
                <w:rStyle w:val="21"/>
                <w:rFonts w:ascii="Sylfaen" w:hAnsi="Sylfaen" w:cs="Arial"/>
                <w:color w:val="000000"/>
                <w:sz w:val="24"/>
                <w:szCs w:val="24"/>
              </w:rPr>
              <w:t>,</w:t>
            </w:r>
            <w:r>
              <w:rPr>
                <w:rStyle w:val="20"/>
                <w:rFonts w:ascii="Sylfaen" w:hAnsi="Sylfaen" w:cs="Arial"/>
                <w:color w:val="000000"/>
                <w:sz w:val="24"/>
                <w:szCs w:val="24"/>
              </w:rPr>
              <w:t> </w:t>
            </w:r>
            <w:r>
              <w:rPr>
                <w:rStyle w:val="19"/>
                <w:rFonts w:ascii="Sylfaen" w:hAnsi="Sylfaen" w:cs="Arial"/>
                <w:color w:val="000000"/>
                <w:sz w:val="24"/>
                <w:szCs w:val="24"/>
              </w:rPr>
              <w:t>year</w:t>
            </w:r>
            <w:r>
              <w:rPr>
                <w:rFonts w:ascii="Sylfaen" w:hAnsi="Sylfaen"/>
                <w:sz w:val="24"/>
                <w:szCs w:val="24"/>
              </w:rPr>
              <w:t xml:space="preserve"> ` ...........    </w:t>
            </w:r>
          </w:p>
        </w:tc>
      </w:tr>
      <w:tr w14:paraId="1158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6AC0FA07">
            <w:pPr>
              <w:spacing w:after="0" w:line="240" w:lineRule="auto"/>
              <w:jc w:val="both"/>
              <w:rPr>
                <w:rFonts w:ascii="Sylfaen" w:hAnsi="Sylfaen"/>
                <w:sz w:val="24"/>
                <w:szCs w:val="24"/>
              </w:rPr>
            </w:pPr>
            <w:r>
              <w:rPr>
                <w:rFonts w:ascii="Sylfaen" w:hAnsi="Sylfaen"/>
                <w:sz w:val="24"/>
                <w:szCs w:val="24"/>
              </w:rPr>
              <w:t>1.</w:t>
            </w:r>
          </w:p>
        </w:tc>
        <w:tc>
          <w:tcPr>
            <w:tcW w:w="3600" w:type="dxa"/>
          </w:tcPr>
          <w:p w14:paraId="49E0FF00">
            <w:pPr>
              <w:spacing w:after="0" w:line="240" w:lineRule="auto"/>
              <w:jc w:val="both"/>
              <w:rPr>
                <w:rFonts w:ascii="Sylfaen" w:hAnsi="Sylfaen"/>
                <w:sz w:val="24"/>
                <w:szCs w:val="24"/>
              </w:rPr>
            </w:pPr>
          </w:p>
        </w:tc>
      </w:tr>
      <w:tr w14:paraId="3411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45634CD6">
            <w:pPr>
              <w:spacing w:after="0" w:line="240" w:lineRule="auto"/>
              <w:jc w:val="both"/>
              <w:rPr>
                <w:rFonts w:ascii="Sylfaen" w:hAnsi="Sylfaen"/>
                <w:sz w:val="24"/>
                <w:szCs w:val="24"/>
              </w:rPr>
            </w:pPr>
            <w:r>
              <w:rPr>
                <w:rFonts w:ascii="Sylfaen" w:hAnsi="Sylfaen"/>
                <w:sz w:val="24"/>
                <w:szCs w:val="24"/>
              </w:rPr>
              <w:t>2.</w:t>
            </w:r>
          </w:p>
        </w:tc>
        <w:tc>
          <w:tcPr>
            <w:tcW w:w="3600" w:type="dxa"/>
          </w:tcPr>
          <w:p w14:paraId="20074108">
            <w:pPr>
              <w:spacing w:after="0" w:line="240" w:lineRule="auto"/>
              <w:jc w:val="both"/>
              <w:rPr>
                <w:rFonts w:ascii="Sylfaen" w:hAnsi="Sylfaen"/>
                <w:sz w:val="24"/>
                <w:szCs w:val="24"/>
              </w:rPr>
            </w:pPr>
          </w:p>
        </w:tc>
      </w:tr>
      <w:tr w14:paraId="33DC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5508" w:type="dxa"/>
          </w:tcPr>
          <w:p w14:paraId="1CF378C2">
            <w:pPr>
              <w:spacing w:after="0" w:line="240" w:lineRule="auto"/>
              <w:jc w:val="both"/>
              <w:rPr>
                <w:rFonts w:ascii="Sylfaen" w:hAnsi="Sylfaen"/>
                <w:sz w:val="24"/>
                <w:szCs w:val="24"/>
              </w:rPr>
            </w:pPr>
            <w:r>
              <w:rPr>
                <w:rFonts w:ascii="Sylfaen" w:hAnsi="Sylfaen"/>
                <w:sz w:val="24"/>
                <w:szCs w:val="24"/>
              </w:rPr>
              <w:t>..</w:t>
            </w:r>
          </w:p>
        </w:tc>
        <w:tc>
          <w:tcPr>
            <w:tcW w:w="3600" w:type="dxa"/>
          </w:tcPr>
          <w:p w14:paraId="48E5C1BF">
            <w:pPr>
              <w:spacing w:after="0" w:line="240" w:lineRule="auto"/>
              <w:jc w:val="both"/>
              <w:rPr>
                <w:rFonts w:ascii="Sylfaen" w:hAnsi="Sylfaen"/>
                <w:sz w:val="24"/>
                <w:szCs w:val="24"/>
              </w:rPr>
            </w:pPr>
          </w:p>
        </w:tc>
      </w:tr>
      <w:tr w14:paraId="0A4A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108" w:type="dxa"/>
            <w:gridSpan w:val="2"/>
            <w:vAlign w:val="center"/>
          </w:tcPr>
          <w:p w14:paraId="52053228">
            <w:pPr>
              <w:spacing w:after="0" w:line="240" w:lineRule="auto"/>
              <w:jc w:val="center"/>
              <w:rPr>
                <w:rFonts w:ascii="Sylfaen" w:hAnsi="Sylfaen"/>
                <w:sz w:val="24"/>
                <w:szCs w:val="24"/>
              </w:rPr>
            </w:pPr>
            <w:r>
              <w:rPr>
                <w:rStyle w:val="19"/>
                <w:rFonts w:ascii="Sylfaen" w:hAnsi="Sylfaen" w:cs="Arial"/>
                <w:color w:val="000000"/>
                <w:sz w:val="24"/>
                <w:szCs w:val="24"/>
              </w:rPr>
              <w:t>Date</w:t>
            </w:r>
            <w:r>
              <w:rPr>
                <w:rStyle w:val="21"/>
                <w:rFonts w:ascii="Sylfaen" w:hAnsi="Sylfaen" w:cs="Arial"/>
                <w:color w:val="000000"/>
                <w:sz w:val="24"/>
                <w:szCs w:val="24"/>
              </w:rPr>
              <w:t>,</w:t>
            </w:r>
            <w:r>
              <w:rPr>
                <w:rStyle w:val="20"/>
                <w:rFonts w:ascii="Sylfaen" w:hAnsi="Sylfaen" w:cs="Arial"/>
                <w:color w:val="000000"/>
                <w:sz w:val="24"/>
                <w:szCs w:val="24"/>
              </w:rPr>
              <w:t> </w:t>
            </w:r>
            <w:r>
              <w:rPr>
                <w:rStyle w:val="19"/>
                <w:rFonts w:ascii="Sylfaen" w:hAnsi="Sylfaen" w:cs="Arial"/>
                <w:color w:val="000000"/>
                <w:sz w:val="24"/>
                <w:szCs w:val="24"/>
              </w:rPr>
              <w:t>year</w:t>
            </w:r>
            <w:r>
              <w:rPr>
                <w:rFonts w:ascii="Sylfaen" w:hAnsi="Sylfaen"/>
                <w:sz w:val="24"/>
                <w:szCs w:val="24"/>
              </w:rPr>
              <w:t xml:space="preserve"> ` ...........    </w:t>
            </w:r>
          </w:p>
        </w:tc>
      </w:tr>
      <w:tr w14:paraId="7641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6B984BCD">
            <w:pPr>
              <w:spacing w:after="0" w:line="240" w:lineRule="auto"/>
              <w:jc w:val="both"/>
              <w:rPr>
                <w:rFonts w:ascii="Sylfaen" w:hAnsi="Sylfaen"/>
                <w:sz w:val="24"/>
                <w:szCs w:val="24"/>
              </w:rPr>
            </w:pPr>
            <w:r>
              <w:rPr>
                <w:rFonts w:ascii="Sylfaen" w:hAnsi="Sylfaen"/>
                <w:sz w:val="24"/>
                <w:szCs w:val="24"/>
              </w:rPr>
              <w:t>1.</w:t>
            </w:r>
          </w:p>
        </w:tc>
        <w:tc>
          <w:tcPr>
            <w:tcW w:w="3600" w:type="dxa"/>
          </w:tcPr>
          <w:p w14:paraId="4B61A015">
            <w:pPr>
              <w:spacing w:after="0" w:line="240" w:lineRule="auto"/>
              <w:jc w:val="both"/>
              <w:rPr>
                <w:rFonts w:ascii="Sylfaen" w:hAnsi="Sylfaen"/>
                <w:sz w:val="24"/>
                <w:szCs w:val="24"/>
              </w:rPr>
            </w:pPr>
          </w:p>
        </w:tc>
      </w:tr>
      <w:tr w14:paraId="161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6351616F">
            <w:pPr>
              <w:spacing w:after="0" w:line="240" w:lineRule="auto"/>
              <w:jc w:val="both"/>
              <w:rPr>
                <w:rFonts w:ascii="Sylfaen" w:hAnsi="Sylfaen"/>
                <w:sz w:val="24"/>
                <w:szCs w:val="24"/>
              </w:rPr>
            </w:pPr>
            <w:r>
              <w:rPr>
                <w:rFonts w:ascii="Sylfaen" w:hAnsi="Sylfaen"/>
                <w:sz w:val="24"/>
                <w:szCs w:val="24"/>
              </w:rPr>
              <w:t>2.</w:t>
            </w:r>
          </w:p>
        </w:tc>
        <w:tc>
          <w:tcPr>
            <w:tcW w:w="3600" w:type="dxa"/>
          </w:tcPr>
          <w:p w14:paraId="63110FE1">
            <w:pPr>
              <w:spacing w:after="0" w:line="240" w:lineRule="auto"/>
              <w:jc w:val="both"/>
              <w:rPr>
                <w:rFonts w:ascii="Sylfaen" w:hAnsi="Sylfaen"/>
                <w:sz w:val="24"/>
                <w:szCs w:val="24"/>
              </w:rPr>
            </w:pPr>
          </w:p>
        </w:tc>
      </w:tr>
      <w:tr w14:paraId="7927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3867E3AE">
            <w:pPr>
              <w:spacing w:after="0" w:line="240" w:lineRule="auto"/>
              <w:jc w:val="both"/>
              <w:rPr>
                <w:rFonts w:ascii="Sylfaen" w:hAnsi="Sylfaen"/>
                <w:sz w:val="24"/>
                <w:szCs w:val="24"/>
              </w:rPr>
            </w:pPr>
            <w:r>
              <w:rPr>
                <w:rFonts w:ascii="Sylfaen" w:hAnsi="Sylfaen"/>
                <w:sz w:val="24"/>
                <w:szCs w:val="24"/>
              </w:rPr>
              <w:t>..</w:t>
            </w:r>
          </w:p>
        </w:tc>
        <w:tc>
          <w:tcPr>
            <w:tcW w:w="3600" w:type="dxa"/>
          </w:tcPr>
          <w:p w14:paraId="48CF6838">
            <w:pPr>
              <w:spacing w:after="0" w:line="240" w:lineRule="auto"/>
              <w:jc w:val="both"/>
              <w:rPr>
                <w:rFonts w:ascii="Sylfaen" w:hAnsi="Sylfaen"/>
                <w:sz w:val="24"/>
                <w:szCs w:val="24"/>
              </w:rPr>
            </w:pPr>
          </w:p>
        </w:tc>
      </w:tr>
    </w:tbl>
    <w:p w14:paraId="1E6E62DF">
      <w:pPr>
        <w:spacing w:line="240" w:lineRule="auto"/>
        <w:jc w:val="both"/>
        <w:rPr>
          <w:rFonts w:ascii="Sylfaen" w:hAnsi="Sylfaen"/>
          <w:sz w:val="24"/>
          <w:szCs w:val="24"/>
        </w:rPr>
      </w:pPr>
    </w:p>
    <w:p w14:paraId="7B40652C">
      <w:pPr>
        <w:spacing w:line="240" w:lineRule="auto"/>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 xml:space="preserve">the participant’s name, surname  </w:t>
      </w:r>
      <w:r>
        <w:rPr>
          <w:rFonts w:ascii="Sylfaen" w:hAnsi="Sylfaen"/>
          <w:sz w:val="24"/>
          <w:szCs w:val="24"/>
        </w:rPr>
        <w:t>______________</w:t>
      </w:r>
    </w:p>
    <w:p w14:paraId="4D484CD9">
      <w:pPr>
        <w:spacing w:line="240" w:lineRule="auto"/>
        <w:jc w:val="both"/>
        <w:rPr>
          <w:rFonts w:ascii="Sylfaen" w:hAnsi="Sylfaen"/>
          <w:sz w:val="24"/>
          <w:szCs w:val="24"/>
        </w:rPr>
      </w:pPr>
    </w:p>
    <w:p w14:paraId="2595EDEF">
      <w:pPr>
        <w:jc w:val="right"/>
        <w:rPr>
          <w:rFonts w:ascii="Sylfaen" w:hAnsi="Sylfaen"/>
          <w:sz w:val="24"/>
          <w:szCs w:val="24"/>
        </w:rPr>
      </w:pPr>
      <w:r>
        <w:rPr>
          <w:rFonts w:ascii="Sylfaen" w:hAnsi="Sylfaen"/>
          <w:sz w:val="24"/>
          <w:szCs w:val="24"/>
        </w:rPr>
        <w:t>_____signature______</w:t>
      </w:r>
    </w:p>
    <w:p w14:paraId="00032408">
      <w:pPr>
        <w:jc w:val="right"/>
        <w:rPr>
          <w:rFonts w:ascii="Sylfaen" w:hAnsi="Sylfaen"/>
          <w:sz w:val="24"/>
          <w:szCs w:val="24"/>
        </w:rPr>
      </w:pPr>
    </w:p>
    <w:p w14:paraId="6521BCDB">
      <w:pPr>
        <w:jc w:val="right"/>
        <w:rPr>
          <w:rFonts w:ascii="Sylfaen" w:hAnsi="Sylfaen"/>
          <w:sz w:val="24"/>
          <w:szCs w:val="24"/>
        </w:rPr>
      </w:pPr>
    </w:p>
    <w:p w14:paraId="1E28968B">
      <w:pPr>
        <w:jc w:val="right"/>
        <w:rPr>
          <w:rFonts w:ascii="Sylfaen" w:hAnsi="Sylfaen"/>
          <w:sz w:val="24"/>
          <w:szCs w:val="24"/>
        </w:rPr>
      </w:pPr>
      <w:r>
        <w:rPr>
          <w:rFonts w:ascii="Sylfaen" w:hAnsi="Sylfaen"/>
          <w:sz w:val="24"/>
          <w:szCs w:val="24"/>
        </w:rPr>
        <w:t>____________</w:t>
      </w:r>
      <w:r>
        <w:rPr>
          <w:rFonts w:ascii="Sylfaen" w:hAnsi="Sylfaen"/>
          <w:sz w:val="24"/>
          <w:szCs w:val="24"/>
          <w:vertAlign w:val="subscript"/>
        </w:rPr>
        <w:t>_date_</w:t>
      </w:r>
      <w:r>
        <w:rPr>
          <w:rFonts w:ascii="Sylfaen" w:hAnsi="Sylfaen"/>
          <w:sz w:val="24"/>
          <w:szCs w:val="24"/>
        </w:rPr>
        <w:t>_____2025</w:t>
      </w:r>
    </w:p>
    <w:p w14:paraId="3BE3D035">
      <w:pPr>
        <w:pStyle w:val="5"/>
        <w:spacing w:line="240" w:lineRule="auto"/>
        <w:ind w:right="-2" w:firstLine="0"/>
        <w:rPr>
          <w:rFonts w:ascii="GHEA Grapalat" w:hAnsi="GHEA Grapalat" w:cs="Arial"/>
          <w:color w:val="222222"/>
          <w:lang w:val="en-US"/>
        </w:rPr>
      </w:pPr>
    </w:p>
    <w:p w14:paraId="322CB604">
      <w:pPr>
        <w:pStyle w:val="5"/>
        <w:spacing w:line="240" w:lineRule="auto"/>
        <w:ind w:right="-2" w:firstLine="0"/>
        <w:rPr>
          <w:rFonts w:ascii="GHEA Grapalat" w:hAnsi="GHEA Grapalat" w:cs="Arial"/>
          <w:color w:val="222222"/>
          <w:lang w:val="en-US"/>
        </w:rPr>
      </w:pPr>
    </w:p>
    <w:sectPr>
      <w:pgSz w:w="11906" w:h="16838"/>
      <w:pgMar w:top="284" w:right="567" w:bottom="284" w:left="900"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GHEA Grapalat">
    <w:altName w:val="Arial"/>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262C7"/>
    <w:rsid w:val="000269F9"/>
    <w:rsid w:val="000324DC"/>
    <w:rsid w:val="00036564"/>
    <w:rsid w:val="00040254"/>
    <w:rsid w:val="00053431"/>
    <w:rsid w:val="000543A2"/>
    <w:rsid w:val="00063B37"/>
    <w:rsid w:val="000650B0"/>
    <w:rsid w:val="00065569"/>
    <w:rsid w:val="00073D6E"/>
    <w:rsid w:val="00080D69"/>
    <w:rsid w:val="0008372F"/>
    <w:rsid w:val="000840DC"/>
    <w:rsid w:val="000A2D05"/>
    <w:rsid w:val="000A406A"/>
    <w:rsid w:val="000B6E69"/>
    <w:rsid w:val="000C041F"/>
    <w:rsid w:val="000C4786"/>
    <w:rsid w:val="000C54A2"/>
    <w:rsid w:val="000C5BDB"/>
    <w:rsid w:val="000C7611"/>
    <w:rsid w:val="000D7676"/>
    <w:rsid w:val="000E27D9"/>
    <w:rsid w:val="000E3077"/>
    <w:rsid w:val="000E7C91"/>
    <w:rsid w:val="00101CCF"/>
    <w:rsid w:val="001042DC"/>
    <w:rsid w:val="001046D2"/>
    <w:rsid w:val="00107554"/>
    <w:rsid w:val="00121AB8"/>
    <w:rsid w:val="00130712"/>
    <w:rsid w:val="0013601C"/>
    <w:rsid w:val="00146E6F"/>
    <w:rsid w:val="001555CE"/>
    <w:rsid w:val="00162AE0"/>
    <w:rsid w:val="00170F39"/>
    <w:rsid w:val="00171857"/>
    <w:rsid w:val="001A260F"/>
    <w:rsid w:val="001B33D2"/>
    <w:rsid w:val="001C3A80"/>
    <w:rsid w:val="001C4E8D"/>
    <w:rsid w:val="001C4FB5"/>
    <w:rsid w:val="001C7199"/>
    <w:rsid w:val="001C7326"/>
    <w:rsid w:val="001D5F7C"/>
    <w:rsid w:val="001E435F"/>
    <w:rsid w:val="001E44D5"/>
    <w:rsid w:val="001F2364"/>
    <w:rsid w:val="00205A37"/>
    <w:rsid w:val="00212FE8"/>
    <w:rsid w:val="00215C9D"/>
    <w:rsid w:val="00217BCC"/>
    <w:rsid w:val="00231CCD"/>
    <w:rsid w:val="00232937"/>
    <w:rsid w:val="002433D4"/>
    <w:rsid w:val="00246778"/>
    <w:rsid w:val="00246DF9"/>
    <w:rsid w:val="0024747C"/>
    <w:rsid w:val="00250016"/>
    <w:rsid w:val="00252774"/>
    <w:rsid w:val="00256D9D"/>
    <w:rsid w:val="00257FF0"/>
    <w:rsid w:val="00264E95"/>
    <w:rsid w:val="00264F6B"/>
    <w:rsid w:val="00266DF6"/>
    <w:rsid w:val="00267AE3"/>
    <w:rsid w:val="002760BB"/>
    <w:rsid w:val="00283C5A"/>
    <w:rsid w:val="00296AC0"/>
    <w:rsid w:val="002A138B"/>
    <w:rsid w:val="002A7085"/>
    <w:rsid w:val="002B2300"/>
    <w:rsid w:val="002B39B5"/>
    <w:rsid w:val="002B40B5"/>
    <w:rsid w:val="002E1993"/>
    <w:rsid w:val="00302425"/>
    <w:rsid w:val="0030301B"/>
    <w:rsid w:val="003115DB"/>
    <w:rsid w:val="00322B8B"/>
    <w:rsid w:val="00322BA4"/>
    <w:rsid w:val="00323A8D"/>
    <w:rsid w:val="00353D9F"/>
    <w:rsid w:val="00372FA4"/>
    <w:rsid w:val="00382D51"/>
    <w:rsid w:val="003836D8"/>
    <w:rsid w:val="0038768F"/>
    <w:rsid w:val="003941A9"/>
    <w:rsid w:val="00395C8F"/>
    <w:rsid w:val="003965AC"/>
    <w:rsid w:val="003A559C"/>
    <w:rsid w:val="003B1774"/>
    <w:rsid w:val="003D118E"/>
    <w:rsid w:val="003D2D0B"/>
    <w:rsid w:val="003E079F"/>
    <w:rsid w:val="003F1D51"/>
    <w:rsid w:val="003F7976"/>
    <w:rsid w:val="004031F5"/>
    <w:rsid w:val="0041483F"/>
    <w:rsid w:val="0041610D"/>
    <w:rsid w:val="00416823"/>
    <w:rsid w:val="00420C8C"/>
    <w:rsid w:val="00425663"/>
    <w:rsid w:val="00454B5B"/>
    <w:rsid w:val="00457825"/>
    <w:rsid w:val="00466AB9"/>
    <w:rsid w:val="0047253F"/>
    <w:rsid w:val="00474817"/>
    <w:rsid w:val="00474930"/>
    <w:rsid w:val="004770CB"/>
    <w:rsid w:val="00483105"/>
    <w:rsid w:val="00484876"/>
    <w:rsid w:val="00485ABA"/>
    <w:rsid w:val="00486874"/>
    <w:rsid w:val="00495064"/>
    <w:rsid w:val="004A268C"/>
    <w:rsid w:val="004A3354"/>
    <w:rsid w:val="004B053C"/>
    <w:rsid w:val="004B3AF3"/>
    <w:rsid w:val="004E25EC"/>
    <w:rsid w:val="005103FF"/>
    <w:rsid w:val="00544F45"/>
    <w:rsid w:val="0054509A"/>
    <w:rsid w:val="0054642F"/>
    <w:rsid w:val="00561796"/>
    <w:rsid w:val="00567561"/>
    <w:rsid w:val="00576821"/>
    <w:rsid w:val="00577B9B"/>
    <w:rsid w:val="00583DAE"/>
    <w:rsid w:val="005A6163"/>
    <w:rsid w:val="005A70C5"/>
    <w:rsid w:val="005B6773"/>
    <w:rsid w:val="005B6D72"/>
    <w:rsid w:val="005D7A23"/>
    <w:rsid w:val="005E02D5"/>
    <w:rsid w:val="005E6D8D"/>
    <w:rsid w:val="005F0656"/>
    <w:rsid w:val="005F1418"/>
    <w:rsid w:val="006053BD"/>
    <w:rsid w:val="00607FDA"/>
    <w:rsid w:val="00611E41"/>
    <w:rsid w:val="00616EE1"/>
    <w:rsid w:val="00630AE7"/>
    <w:rsid w:val="00630D28"/>
    <w:rsid w:val="00643185"/>
    <w:rsid w:val="00644A68"/>
    <w:rsid w:val="00644B4A"/>
    <w:rsid w:val="00653F9A"/>
    <w:rsid w:val="00663B3E"/>
    <w:rsid w:val="006840D9"/>
    <w:rsid w:val="00685709"/>
    <w:rsid w:val="006930D4"/>
    <w:rsid w:val="006A473C"/>
    <w:rsid w:val="006A7D92"/>
    <w:rsid w:val="006B132D"/>
    <w:rsid w:val="006B1F7C"/>
    <w:rsid w:val="006B4AFC"/>
    <w:rsid w:val="006E72CF"/>
    <w:rsid w:val="007023C2"/>
    <w:rsid w:val="00704888"/>
    <w:rsid w:val="00716F4B"/>
    <w:rsid w:val="00723A80"/>
    <w:rsid w:val="007329FA"/>
    <w:rsid w:val="00741E2E"/>
    <w:rsid w:val="00741EFE"/>
    <w:rsid w:val="00761266"/>
    <w:rsid w:val="0077076C"/>
    <w:rsid w:val="00776A5D"/>
    <w:rsid w:val="0079150C"/>
    <w:rsid w:val="007A5401"/>
    <w:rsid w:val="007A6197"/>
    <w:rsid w:val="007A713C"/>
    <w:rsid w:val="007B6635"/>
    <w:rsid w:val="007D4433"/>
    <w:rsid w:val="007E4779"/>
    <w:rsid w:val="007F4652"/>
    <w:rsid w:val="0080037F"/>
    <w:rsid w:val="00801451"/>
    <w:rsid w:val="00810F9A"/>
    <w:rsid w:val="00816421"/>
    <w:rsid w:val="008236AF"/>
    <w:rsid w:val="00826339"/>
    <w:rsid w:val="00837AA8"/>
    <w:rsid w:val="00844C3D"/>
    <w:rsid w:val="00846DDD"/>
    <w:rsid w:val="00864D35"/>
    <w:rsid w:val="00870E4E"/>
    <w:rsid w:val="00873DED"/>
    <w:rsid w:val="008860AD"/>
    <w:rsid w:val="008A010D"/>
    <w:rsid w:val="008A3F26"/>
    <w:rsid w:val="008A7A85"/>
    <w:rsid w:val="008C25E8"/>
    <w:rsid w:val="008C26E9"/>
    <w:rsid w:val="008D5C60"/>
    <w:rsid w:val="008D60DA"/>
    <w:rsid w:val="008E1007"/>
    <w:rsid w:val="0090407D"/>
    <w:rsid w:val="0090441E"/>
    <w:rsid w:val="00905E4B"/>
    <w:rsid w:val="0091136A"/>
    <w:rsid w:val="0093229F"/>
    <w:rsid w:val="009402FB"/>
    <w:rsid w:val="00942D64"/>
    <w:rsid w:val="00957DB2"/>
    <w:rsid w:val="00962C67"/>
    <w:rsid w:val="00964B09"/>
    <w:rsid w:val="00965689"/>
    <w:rsid w:val="00966685"/>
    <w:rsid w:val="00966DB2"/>
    <w:rsid w:val="0098191B"/>
    <w:rsid w:val="00987A1D"/>
    <w:rsid w:val="009A3B31"/>
    <w:rsid w:val="009A5A7D"/>
    <w:rsid w:val="009B7B58"/>
    <w:rsid w:val="009C33C1"/>
    <w:rsid w:val="009D0668"/>
    <w:rsid w:val="009D342B"/>
    <w:rsid w:val="009D7BB5"/>
    <w:rsid w:val="009E144B"/>
    <w:rsid w:val="009E1E58"/>
    <w:rsid w:val="009E4AB6"/>
    <w:rsid w:val="009E7B68"/>
    <w:rsid w:val="009F51C9"/>
    <w:rsid w:val="009F5B35"/>
    <w:rsid w:val="00A04F30"/>
    <w:rsid w:val="00A0571C"/>
    <w:rsid w:val="00A07C23"/>
    <w:rsid w:val="00A07E5F"/>
    <w:rsid w:val="00A20D00"/>
    <w:rsid w:val="00A229CA"/>
    <w:rsid w:val="00A24AC7"/>
    <w:rsid w:val="00A31E35"/>
    <w:rsid w:val="00A32B9D"/>
    <w:rsid w:val="00A71882"/>
    <w:rsid w:val="00A81659"/>
    <w:rsid w:val="00A82BA5"/>
    <w:rsid w:val="00A90129"/>
    <w:rsid w:val="00A91A11"/>
    <w:rsid w:val="00A92B4E"/>
    <w:rsid w:val="00A94EFE"/>
    <w:rsid w:val="00AA31E0"/>
    <w:rsid w:val="00AC75BB"/>
    <w:rsid w:val="00AD2C90"/>
    <w:rsid w:val="00AD40BA"/>
    <w:rsid w:val="00AD67A8"/>
    <w:rsid w:val="00AD7F09"/>
    <w:rsid w:val="00B06301"/>
    <w:rsid w:val="00B068F6"/>
    <w:rsid w:val="00B15A4E"/>
    <w:rsid w:val="00B21511"/>
    <w:rsid w:val="00B22691"/>
    <w:rsid w:val="00B33E52"/>
    <w:rsid w:val="00B43C34"/>
    <w:rsid w:val="00B463F5"/>
    <w:rsid w:val="00B51655"/>
    <w:rsid w:val="00B52F7F"/>
    <w:rsid w:val="00B566A9"/>
    <w:rsid w:val="00B61417"/>
    <w:rsid w:val="00B760E9"/>
    <w:rsid w:val="00B76DAA"/>
    <w:rsid w:val="00B81CD1"/>
    <w:rsid w:val="00B84A04"/>
    <w:rsid w:val="00BA10AE"/>
    <w:rsid w:val="00BA3672"/>
    <w:rsid w:val="00BB1754"/>
    <w:rsid w:val="00BB591E"/>
    <w:rsid w:val="00BC2FCB"/>
    <w:rsid w:val="00BF020A"/>
    <w:rsid w:val="00BF54B8"/>
    <w:rsid w:val="00BF7A28"/>
    <w:rsid w:val="00C0370C"/>
    <w:rsid w:val="00C06629"/>
    <w:rsid w:val="00C133A8"/>
    <w:rsid w:val="00C3263E"/>
    <w:rsid w:val="00C32DFB"/>
    <w:rsid w:val="00C35D2C"/>
    <w:rsid w:val="00C35E2F"/>
    <w:rsid w:val="00C46186"/>
    <w:rsid w:val="00C614ED"/>
    <w:rsid w:val="00C61CE3"/>
    <w:rsid w:val="00C6628A"/>
    <w:rsid w:val="00C71AB0"/>
    <w:rsid w:val="00C86A90"/>
    <w:rsid w:val="00C92B78"/>
    <w:rsid w:val="00CA3CCF"/>
    <w:rsid w:val="00CB0A5B"/>
    <w:rsid w:val="00CB38D3"/>
    <w:rsid w:val="00CC5344"/>
    <w:rsid w:val="00CC79A5"/>
    <w:rsid w:val="00CF0C76"/>
    <w:rsid w:val="00CF2D56"/>
    <w:rsid w:val="00D20533"/>
    <w:rsid w:val="00D3563B"/>
    <w:rsid w:val="00D371F6"/>
    <w:rsid w:val="00D4315C"/>
    <w:rsid w:val="00D45F07"/>
    <w:rsid w:val="00D47852"/>
    <w:rsid w:val="00D50F92"/>
    <w:rsid w:val="00D57CF2"/>
    <w:rsid w:val="00D61008"/>
    <w:rsid w:val="00D63037"/>
    <w:rsid w:val="00D6484C"/>
    <w:rsid w:val="00D745EB"/>
    <w:rsid w:val="00D74A41"/>
    <w:rsid w:val="00D760F3"/>
    <w:rsid w:val="00D87025"/>
    <w:rsid w:val="00DA2EB5"/>
    <w:rsid w:val="00DA7454"/>
    <w:rsid w:val="00DA7A88"/>
    <w:rsid w:val="00DB0B97"/>
    <w:rsid w:val="00DB2959"/>
    <w:rsid w:val="00DB5019"/>
    <w:rsid w:val="00DC13BE"/>
    <w:rsid w:val="00DD3825"/>
    <w:rsid w:val="00DE42B6"/>
    <w:rsid w:val="00DE48FD"/>
    <w:rsid w:val="00DE7169"/>
    <w:rsid w:val="00DF3F8F"/>
    <w:rsid w:val="00E00D10"/>
    <w:rsid w:val="00E07CFA"/>
    <w:rsid w:val="00E16BD7"/>
    <w:rsid w:val="00E275DE"/>
    <w:rsid w:val="00E3357E"/>
    <w:rsid w:val="00E34F7F"/>
    <w:rsid w:val="00E37738"/>
    <w:rsid w:val="00E41A28"/>
    <w:rsid w:val="00E44AE6"/>
    <w:rsid w:val="00E4736C"/>
    <w:rsid w:val="00E56412"/>
    <w:rsid w:val="00E64911"/>
    <w:rsid w:val="00E6674E"/>
    <w:rsid w:val="00E72849"/>
    <w:rsid w:val="00E85116"/>
    <w:rsid w:val="00E855E1"/>
    <w:rsid w:val="00E9046B"/>
    <w:rsid w:val="00E91A69"/>
    <w:rsid w:val="00E9362E"/>
    <w:rsid w:val="00E939A6"/>
    <w:rsid w:val="00EA0D7B"/>
    <w:rsid w:val="00EA0FE4"/>
    <w:rsid w:val="00EA541A"/>
    <w:rsid w:val="00EA707C"/>
    <w:rsid w:val="00EB4DFC"/>
    <w:rsid w:val="00EB55EB"/>
    <w:rsid w:val="00EB6610"/>
    <w:rsid w:val="00EC2EB8"/>
    <w:rsid w:val="00ED0E36"/>
    <w:rsid w:val="00ED67F0"/>
    <w:rsid w:val="00EE18F7"/>
    <w:rsid w:val="00EE3F02"/>
    <w:rsid w:val="00EF110B"/>
    <w:rsid w:val="00EF7064"/>
    <w:rsid w:val="00F02249"/>
    <w:rsid w:val="00F02834"/>
    <w:rsid w:val="00F044E5"/>
    <w:rsid w:val="00F05361"/>
    <w:rsid w:val="00F10F8C"/>
    <w:rsid w:val="00F20AD2"/>
    <w:rsid w:val="00F258E8"/>
    <w:rsid w:val="00F27B5C"/>
    <w:rsid w:val="00F330AD"/>
    <w:rsid w:val="00F54A7F"/>
    <w:rsid w:val="00F91D8D"/>
    <w:rsid w:val="00FA03CF"/>
    <w:rsid w:val="00FA0A06"/>
    <w:rsid w:val="00FB0AE7"/>
    <w:rsid w:val="00FB2485"/>
    <w:rsid w:val="00FB3F7F"/>
    <w:rsid w:val="00FB41CB"/>
    <w:rsid w:val="00FB7678"/>
    <w:rsid w:val="00FC1A70"/>
    <w:rsid w:val="00FC33A6"/>
    <w:rsid w:val="00FF4E67"/>
    <w:rsid w:val="5A610D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2"/>
    <w:semiHidden/>
    <w:qFormat/>
    <w:uiPriority w:val="99"/>
    <w:pPr>
      <w:spacing w:after="0" w:line="240" w:lineRule="auto"/>
    </w:pPr>
    <w:rPr>
      <w:rFonts w:ascii="Tahoma" w:hAnsi="Tahoma" w:cs="Tahoma"/>
      <w:sz w:val="16"/>
      <w:szCs w:val="16"/>
    </w:rPr>
  </w:style>
  <w:style w:type="paragraph" w:styleId="5">
    <w:name w:val="Body Text Indent"/>
    <w:basedOn w:val="1"/>
    <w:link w:val="14"/>
    <w:uiPriority w:val="99"/>
    <w:pPr>
      <w:spacing w:after="0" w:line="360" w:lineRule="auto"/>
      <w:ind w:firstLine="720"/>
      <w:jc w:val="both"/>
    </w:pPr>
    <w:rPr>
      <w:rFonts w:ascii="Arial LatArm" w:hAnsi="Arial LatArm" w:eastAsia="Times New Roman"/>
      <w:i/>
      <w:sz w:val="20"/>
      <w:szCs w:val="20"/>
      <w:lang w:val="en-AU"/>
    </w:rPr>
  </w:style>
  <w:style w:type="paragraph" w:styleId="6">
    <w:name w:val="Body Text Indent 2"/>
    <w:basedOn w:val="1"/>
    <w:link w:val="16"/>
    <w:uiPriority w:val="99"/>
    <w:pPr>
      <w:spacing w:after="120" w:line="480" w:lineRule="auto"/>
      <w:ind w:left="283"/>
    </w:pPr>
  </w:style>
  <w:style w:type="paragraph" w:styleId="7">
    <w:name w:val="footer"/>
    <w:basedOn w:val="1"/>
    <w:link w:val="18"/>
    <w:semiHidden/>
    <w:uiPriority w:val="99"/>
    <w:pPr>
      <w:tabs>
        <w:tab w:val="center" w:pos="4844"/>
        <w:tab w:val="right" w:pos="9689"/>
      </w:tabs>
      <w:spacing w:after="0" w:line="240" w:lineRule="auto"/>
    </w:pPr>
  </w:style>
  <w:style w:type="paragraph" w:styleId="8">
    <w:name w:val="header"/>
    <w:basedOn w:val="1"/>
    <w:link w:val="17"/>
    <w:semiHidden/>
    <w:uiPriority w:val="99"/>
    <w:pPr>
      <w:tabs>
        <w:tab w:val="center" w:pos="4844"/>
        <w:tab w:val="right" w:pos="9689"/>
      </w:tabs>
      <w:spacing w:after="0" w:line="240" w:lineRule="auto"/>
    </w:pPr>
  </w:style>
  <w:style w:type="paragraph" w:styleId="9">
    <w:name w:val="HTML Preformatted"/>
    <w:basedOn w:val="1"/>
    <w:link w:val="2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0">
    <w:name w:val="Hyperlink"/>
    <w:qFormat/>
    <w:uiPriority w:val="0"/>
    <w:rPr>
      <w:color w:val="0000FF"/>
      <w:u w:val="single"/>
    </w:rPr>
  </w:style>
  <w:style w:type="paragraph" w:customStyle="1" w:styleId="11">
    <w:name w:val="List Paragraph1"/>
    <w:basedOn w:val="1"/>
    <w:qFormat/>
    <w:uiPriority w:val="99"/>
    <w:pPr>
      <w:ind w:left="720"/>
      <w:contextualSpacing/>
    </w:pPr>
  </w:style>
  <w:style w:type="paragraph" w:styleId="12">
    <w:name w:val="List Paragraph"/>
    <w:basedOn w:val="1"/>
    <w:qFormat/>
    <w:uiPriority w:val="99"/>
    <w:pPr>
      <w:ind w:left="720"/>
      <w:contextualSpacing/>
    </w:pPr>
  </w:style>
  <w:style w:type="paragraph" w:customStyle="1" w:styleId="13">
    <w:name w:val="norm"/>
    <w:basedOn w:val="1"/>
    <w:qFormat/>
    <w:uiPriority w:val="99"/>
    <w:pPr>
      <w:spacing w:after="0" w:line="480" w:lineRule="auto"/>
      <w:ind w:firstLine="709"/>
      <w:jc w:val="both"/>
    </w:pPr>
    <w:rPr>
      <w:rFonts w:ascii="Arial Armenian" w:hAnsi="Arial Armenian" w:eastAsia="Times New Roman"/>
      <w:szCs w:val="20"/>
      <w:lang w:eastAsia="ru-RU"/>
    </w:rPr>
  </w:style>
  <w:style w:type="character" w:customStyle="1" w:styleId="14">
    <w:name w:val="Body Text Indent Char"/>
    <w:basedOn w:val="2"/>
    <w:link w:val="5"/>
    <w:locked/>
    <w:uiPriority w:val="99"/>
    <w:rPr>
      <w:rFonts w:ascii="Arial LatArm" w:hAnsi="Arial LatArm" w:cs="Times New Roman"/>
      <w:i/>
      <w:sz w:val="20"/>
      <w:szCs w:val="20"/>
      <w:lang w:val="en-AU"/>
    </w:rPr>
  </w:style>
  <w:style w:type="paragraph" w:customStyle="1" w:styleId="15">
    <w:name w:val="Абзац списка1"/>
    <w:basedOn w:val="1"/>
    <w:qFormat/>
    <w:uiPriority w:val="99"/>
    <w:pPr>
      <w:ind w:left="720"/>
      <w:contextualSpacing/>
    </w:pPr>
  </w:style>
  <w:style w:type="character" w:customStyle="1" w:styleId="16">
    <w:name w:val="Body Text Indent 2 Char"/>
    <w:basedOn w:val="2"/>
    <w:link w:val="6"/>
    <w:qFormat/>
    <w:locked/>
    <w:uiPriority w:val="99"/>
    <w:rPr>
      <w:rFonts w:ascii="Calibri" w:hAnsi="Calibri" w:eastAsia="Times New Roman" w:cs="Times New Roman"/>
      <w:lang w:val="en-US"/>
    </w:rPr>
  </w:style>
  <w:style w:type="character" w:customStyle="1" w:styleId="17">
    <w:name w:val="Header Char"/>
    <w:basedOn w:val="2"/>
    <w:link w:val="8"/>
    <w:semiHidden/>
    <w:locked/>
    <w:uiPriority w:val="99"/>
    <w:rPr>
      <w:rFonts w:ascii="Calibri" w:hAnsi="Calibri" w:eastAsia="Times New Roman" w:cs="Times New Roman"/>
      <w:lang w:val="en-US"/>
    </w:rPr>
  </w:style>
  <w:style w:type="character" w:customStyle="1" w:styleId="18">
    <w:name w:val="Footer Char"/>
    <w:basedOn w:val="2"/>
    <w:link w:val="7"/>
    <w:semiHidden/>
    <w:qFormat/>
    <w:locked/>
    <w:uiPriority w:val="99"/>
    <w:rPr>
      <w:rFonts w:ascii="Calibri" w:hAnsi="Calibri" w:eastAsia="Times New Roman" w:cs="Times New Roman"/>
      <w:lang w:val="en-US"/>
    </w:rPr>
  </w:style>
  <w:style w:type="character" w:customStyle="1" w:styleId="19">
    <w:name w:val="hps"/>
    <w:basedOn w:val="2"/>
    <w:qFormat/>
    <w:uiPriority w:val="99"/>
    <w:rPr>
      <w:rFonts w:cs="Times New Roman"/>
    </w:rPr>
  </w:style>
  <w:style w:type="character" w:customStyle="1" w:styleId="20">
    <w:name w:val="apple-converted-space"/>
    <w:basedOn w:val="2"/>
    <w:qFormat/>
    <w:uiPriority w:val="99"/>
    <w:rPr>
      <w:rFonts w:cs="Times New Roman"/>
    </w:rPr>
  </w:style>
  <w:style w:type="character" w:customStyle="1" w:styleId="21">
    <w:name w:val="apple-style-span"/>
    <w:basedOn w:val="2"/>
    <w:qFormat/>
    <w:uiPriority w:val="99"/>
    <w:rPr>
      <w:rFonts w:cs="Times New Roman"/>
    </w:rPr>
  </w:style>
  <w:style w:type="character" w:customStyle="1" w:styleId="22">
    <w:name w:val="Balloon Text Char"/>
    <w:basedOn w:val="2"/>
    <w:link w:val="4"/>
    <w:semiHidden/>
    <w:qFormat/>
    <w:locked/>
    <w:uiPriority w:val="99"/>
    <w:rPr>
      <w:rFonts w:ascii="Tahoma" w:hAnsi="Tahoma" w:eastAsia="Times New Roman" w:cs="Tahoma"/>
      <w:sz w:val="16"/>
      <w:szCs w:val="16"/>
      <w:lang w:val="en-US"/>
    </w:rPr>
  </w:style>
  <w:style w:type="character" w:customStyle="1" w:styleId="23">
    <w:name w:val="HTML Preformatted Char"/>
    <w:basedOn w:val="2"/>
    <w:link w:val="9"/>
    <w:qFormat/>
    <w:uiPriority w:val="99"/>
    <w:rPr>
      <w:rFonts w:ascii="Courier New" w:hAnsi="Courier New" w:eastAsia="Times New Roman" w:cs="Courier New"/>
    </w:rPr>
  </w:style>
  <w:style w:type="character" w:customStyle="1" w:styleId="24">
    <w:name w:val="y2iqfc"/>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2375</Words>
  <Characters>13539</Characters>
  <Lines>112</Lines>
  <Paragraphs>31</Paragraphs>
  <TotalTime>1267</TotalTime>
  <ScaleCrop>false</ScaleCrop>
  <LinksUpToDate>false</LinksUpToDate>
  <CharactersWithSpaces>15883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2017-06-27T09:46:00Z</dcterms:created>
  <dc:creator>Артак Абраамян</dc:creator>
  <cp:lastModifiedBy>taron.abrahamyan</cp:lastModifiedBy>
  <dcterms:modified xsi:type="dcterms:W3CDTF">2025-08-04T11:26:22Z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BB402B05A11E4640AEB1AE1863C4F50E_12</vt:lpwstr>
  </property>
</Properties>
</file>