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BF19DE">
        <w:rPr>
          <w:rFonts w:ascii="Times New Roman" w:hAnsi="Times New Roman"/>
          <w:b/>
          <w:i w:val="0"/>
          <w:color w:val="FF0000"/>
          <w:sz w:val="24"/>
          <w:szCs w:val="24"/>
          <w:lang w:val="en-US"/>
        </w:rPr>
        <w:t>16</w:t>
      </w:r>
      <w:r w:rsidRPr="00D66B92">
        <w:rPr>
          <w:rFonts w:ascii="Times New Roman" w:hAnsi="Times New Roman"/>
          <w:b/>
          <w:i w:val="0"/>
          <w:color w:val="FF0000"/>
          <w:sz w:val="24"/>
          <w:szCs w:val="24"/>
          <w:lang w:val="en-US"/>
        </w:rPr>
        <w:t xml:space="preserve"> </w:t>
      </w:r>
      <w:r w:rsidR="00BF19DE">
        <w:rPr>
          <w:rFonts w:ascii="Times New Roman" w:hAnsi="Times New Roman"/>
          <w:b/>
          <w:i w:val="0"/>
          <w:color w:val="FF0000"/>
          <w:sz w:val="24"/>
          <w:szCs w:val="24"/>
          <w:lang w:val="en-US"/>
        </w:rPr>
        <w:t>MAY</w:t>
      </w:r>
      <w:r w:rsidR="00880471">
        <w:rPr>
          <w:rFonts w:ascii="Times New Roman" w:hAnsi="Times New Roman"/>
          <w:b/>
          <w:i w:val="0"/>
          <w:color w:val="FF0000"/>
          <w:sz w:val="24"/>
          <w:szCs w:val="24"/>
          <w:lang w:val="en-US"/>
        </w:rPr>
        <w:t xml:space="preserve"> </w:t>
      </w:r>
      <w:r w:rsidR="00A02593">
        <w:rPr>
          <w:rFonts w:ascii="Times New Roman" w:hAnsi="Times New Roman"/>
          <w:b/>
          <w:i w:val="0"/>
          <w:color w:val="FF0000"/>
          <w:sz w:val="24"/>
          <w:szCs w:val="24"/>
          <w:lang w:val="en-US"/>
        </w:rPr>
        <w:t>2025</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BF19DE">
        <w:rPr>
          <w:rFonts w:ascii="GHEA Grapalat" w:hAnsi="GHEA Grapalat"/>
          <w:b/>
          <w:i w:val="0"/>
          <w:color w:val="FF0000"/>
          <w:sz w:val="19"/>
          <w:szCs w:val="19"/>
          <w:lang w:val="af-ZA"/>
        </w:rPr>
        <w:t>ՀՀ ԱԱԾ-ՏՆՏՎ-ՓՆՄԱՇՁԲ-25/4-ՇԻՆ</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880471">
        <w:rPr>
          <w:rFonts w:ascii="inherit" w:hAnsi="inherit"/>
          <w:b/>
          <w:color w:val="FF0000"/>
        </w:rPr>
        <w:t>CONSTRUCTION WORKS FOR MILITARY BUILDINGS AND FACILITIES</w:t>
      </w:r>
      <w:r w:rsidR="00B3400B" w:rsidRPr="00FF6B1A">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w:t>
      </w:r>
      <w:r w:rsidR="001904E9" w:rsidRPr="001904E9">
        <w:t xml:space="preserve">Moreover, the implementation of </w:t>
      </w:r>
      <w:r w:rsidR="00880471">
        <w:rPr>
          <w:rFonts w:ascii="inherit" w:hAnsi="inherit"/>
          <w:b/>
          <w:color w:val="FF0000"/>
        </w:rPr>
        <w:t>CONSTRUCTION WORKS FOR MILITARY BUILDINGS AND FACILITIES</w:t>
      </w:r>
      <w:r w:rsidR="001904E9" w:rsidRPr="001904E9">
        <w:t xml:space="preserve"> is considered identical.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BF19DE">
        <w:rPr>
          <w:rFonts w:ascii="Times New Roman" w:hAnsi="Times New Roman"/>
          <w:b/>
          <w:i w:val="0"/>
          <w:color w:val="FF0000"/>
          <w:sz w:val="24"/>
          <w:szCs w:val="24"/>
          <w:lang w:val="en-US"/>
        </w:rPr>
        <w:t>02.06.2025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w:t>
      </w:r>
      <w:proofErr w:type="gramStart"/>
      <w:r w:rsidRPr="00D66B92">
        <w:rPr>
          <w:rFonts w:ascii="Times New Roman" w:hAnsi="Times New Roman"/>
          <w:i w:val="0"/>
          <w:sz w:val="24"/>
          <w:szCs w:val="24"/>
          <w:lang w:val="en-US"/>
        </w:rPr>
        <w:t>shall</w:t>
      </w:r>
      <w:proofErr w:type="gramEnd"/>
      <w:r w:rsidRPr="00D66B92">
        <w:rPr>
          <w:rFonts w:ascii="Times New Roman" w:hAnsi="Times New Roman"/>
          <w:i w:val="0"/>
          <w:sz w:val="24"/>
          <w:szCs w:val="24"/>
          <w:lang w:val="en-US"/>
        </w:rPr>
        <w:t xml:space="preserve">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D66B92">
        <w:rPr>
          <w:rFonts w:ascii="Times New Roman" w:hAnsi="Times New Roman"/>
          <w:i w:val="0"/>
          <w:sz w:val="24"/>
          <w:szCs w:val="24"/>
          <w:lang w:val="en-US"/>
        </w:rPr>
        <w:lastRenderedPageBreak/>
        <w:t>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BF19DE">
        <w:rPr>
          <w:rFonts w:ascii="Times New Roman" w:hAnsi="Times New Roman"/>
          <w:b/>
          <w:i w:val="0"/>
          <w:color w:val="FF0000"/>
          <w:sz w:val="24"/>
          <w:szCs w:val="24"/>
          <w:lang w:val="en-US"/>
        </w:rPr>
        <w:t>02.06.2025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Pr="00D66B92" w:rsidRDefault="0010446B" w:rsidP="004A39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D66B92" w:rsidRDefault="0010446B" w:rsidP="004A396B">
      <w:pPr>
        <w:pStyle w:val="6"/>
        <w:ind w:firstLine="708"/>
        <w:jc w:val="both"/>
        <w:rPr>
          <w:rFonts w:ascii="Times New Roman" w:hAnsi="Times New Roman"/>
          <w:b w:val="0"/>
          <w:color w:val="auto"/>
          <w:sz w:val="24"/>
          <w:szCs w:val="24"/>
          <w:lang w:eastAsia="en-US"/>
        </w:rPr>
      </w:pPr>
      <w:r w:rsidRPr="00D66B92">
        <w:rPr>
          <w:rFonts w:ascii="Times New Roman" w:hAnsi="Times New Roman"/>
          <w:b w:val="0"/>
          <w:color w:val="auto"/>
          <w:sz w:val="24"/>
          <w:szCs w:val="24"/>
          <w:lang w:eastAsia="en-US"/>
        </w:rPr>
        <w:t xml:space="preserve">23. </w:t>
      </w:r>
      <w:r w:rsidR="004A396B" w:rsidRPr="00D66B92">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D66B92">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D66B92" w:rsidRDefault="00D16993" w:rsidP="00D16993">
      <w:pPr>
        <w:ind w:firstLine="708"/>
        <w:jc w:val="both"/>
        <w:rPr>
          <w:i/>
        </w:rPr>
      </w:pPr>
      <w:r w:rsidRPr="00D16993">
        <w:rPr>
          <w:b/>
          <w:color w:val="7030A0"/>
        </w:rPr>
        <w:t>25. The right to participate in the procedure of a closed targeted competition is received by persons included in the list of prequalification participants who confirm and, within the period established by this announcement, if available, submit to the secretary of the commission of the appropriate sample a document confirming permission to handle information constituting a state secret.</w:t>
      </w:r>
      <w:r w:rsidR="0010446B" w:rsidRPr="00D66B92">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D66B92" w:rsidRDefault="0010446B" w:rsidP="0010446B">
      <w:pPr>
        <w:pStyle w:val="a3"/>
        <w:spacing w:line="240" w:lineRule="auto"/>
        <w:rPr>
          <w:rFonts w:ascii="Times New Roman" w:hAnsi="Times New Roman"/>
          <w:color w:val="FF0000"/>
          <w:sz w:val="24"/>
          <w:szCs w:val="24"/>
          <w:lang w:val="en-US"/>
        </w:rPr>
      </w:pPr>
      <w:r w:rsidRPr="00D66B92">
        <w:rPr>
          <w:rFonts w:ascii="Times New Roman" w:hAnsi="Times New Roman"/>
          <w:i w:val="0"/>
          <w:sz w:val="24"/>
          <w:szCs w:val="24"/>
          <w:lang w:val="en-US"/>
        </w:rPr>
        <w:t xml:space="preserve">The prequalification participants certify and within </w:t>
      </w:r>
      <w:r w:rsidRPr="00D66B92">
        <w:rPr>
          <w:rFonts w:ascii="Times New Roman" w:hAnsi="Times New Roman"/>
          <w:color w:val="FF0000"/>
          <w:sz w:val="24"/>
          <w:szCs w:val="24"/>
          <w:lang w:val="en-US"/>
        </w:rPr>
        <w:t>three working days</w:t>
      </w:r>
      <w:r w:rsidRPr="00D66B92">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D66B92">
        <w:rPr>
          <w:rFonts w:ascii="Times New Roman" w:hAnsi="Times New Roman"/>
          <w:color w:val="FF0000"/>
          <w:sz w:val="24"/>
          <w:szCs w:val="24"/>
          <w:lang w:val="en-US"/>
        </w:rPr>
        <w:t>arelevant</w:t>
      </w:r>
      <w:proofErr w:type="spellEnd"/>
      <w:r w:rsidRPr="00D66B92">
        <w:rPr>
          <w:rFonts w:ascii="Times New Roman" w:hAnsi="Times New Roman"/>
          <w:color w:val="FF0000"/>
          <w:sz w:val="24"/>
          <w:szCs w:val="24"/>
          <w:lang w:val="en-US"/>
        </w:rPr>
        <w:t xml:space="preserve"> reference by specifying invitation delivery date and hour. </w:t>
      </w:r>
    </w:p>
    <w:p w:rsidR="00D16993" w:rsidRDefault="00D16993"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10446B" w:rsidRPr="00D66B92" w:rsidRDefault="0010446B" w:rsidP="0010446B">
      <w:pPr>
        <w:pStyle w:val="a3"/>
        <w:tabs>
          <w:tab w:val="left" w:pos="0"/>
        </w:tabs>
        <w:spacing w:line="240" w:lineRule="auto"/>
        <w:ind w:left="360" w:hanging="270"/>
        <w:rPr>
          <w:rFonts w:ascii="Times New Roman" w:hAnsi="Times New Roman"/>
          <w:i w:val="0"/>
          <w:sz w:val="24"/>
          <w:szCs w:val="24"/>
          <w:lang w:val="en-US"/>
        </w:rPr>
      </w:pPr>
      <w:r w:rsidRPr="00D66B92">
        <w:rPr>
          <w:rFonts w:ascii="Times New Roman" w:hAnsi="Times New Roman"/>
          <w:i w:val="0"/>
          <w:sz w:val="24"/>
          <w:szCs w:val="24"/>
          <w:lang w:val="en-US"/>
        </w:rPr>
        <w:lastRenderedPageBreak/>
        <w:tab/>
      </w:r>
      <w:r w:rsidRPr="00D66B92">
        <w:rPr>
          <w:rFonts w:ascii="Times New Roman" w:hAnsi="Times New Roman"/>
          <w:i w:val="0"/>
          <w:sz w:val="24"/>
          <w:szCs w:val="24"/>
          <w:lang w:val="en-US"/>
        </w:rPr>
        <w:tab/>
      </w:r>
    </w:p>
    <w:p w:rsidR="0010446B" w:rsidRPr="00D66B92" w:rsidRDefault="0010446B" w:rsidP="0010446B">
      <w:pPr>
        <w:pStyle w:val="a3"/>
        <w:spacing w:line="240" w:lineRule="auto"/>
        <w:ind w:left="1404"/>
        <w:rPr>
          <w:rFonts w:ascii="GHEA Grapalat" w:hAnsi="GHEA Grapalat"/>
          <w:i w:val="0"/>
          <w:lang w:val="af-ZA"/>
        </w:rPr>
      </w:pPr>
    </w:p>
    <w:p w:rsidR="002F57CE" w:rsidRPr="00D66B92" w:rsidRDefault="002F57CE"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BF19DE">
        <w:rPr>
          <w:rFonts w:ascii="GHEA Grapalat" w:hAnsi="GHEA Grapalat"/>
          <w:b/>
          <w:i w:val="0"/>
          <w:color w:val="FF0000"/>
          <w:sz w:val="19"/>
          <w:szCs w:val="19"/>
          <w:lang w:val="af-ZA"/>
        </w:rPr>
        <w:t>ՀՀ ԱԱԾ-ՏՆՏՎ-ՓՆՄԱՇՁԲ-25/4-ՇԻՆ</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BF19DE">
        <w:rPr>
          <w:rFonts w:ascii="GHEA Grapalat" w:hAnsi="GHEA Grapalat"/>
          <w:b/>
          <w:i/>
          <w:color w:val="FF0000"/>
          <w:sz w:val="19"/>
          <w:szCs w:val="19"/>
          <w:lang w:val="af-ZA"/>
        </w:rPr>
        <w:t>ՀՀ ԱԱԾ-ՏՆՏՎ-ՓՆՄԱՇՁԲ-25/4-ՇԻՆ</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BF19DE">
        <w:rPr>
          <w:rFonts w:ascii="GHEA Grapalat" w:hAnsi="GHEA Grapalat"/>
          <w:b/>
          <w:i/>
          <w:color w:val="FF0000"/>
          <w:sz w:val="19"/>
          <w:szCs w:val="19"/>
          <w:lang w:val="af-ZA"/>
        </w:rPr>
        <w:t>ՀՀ ԱԱԾ-ՏՆՏՎ-ՓՆՄԱՇՁԲ-25/4-ՇԻՆ</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B3400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r w:rsidR="0010446B"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03BA9"/>
    <w:rsid w:val="00012525"/>
    <w:rsid w:val="00034945"/>
    <w:rsid w:val="0004100C"/>
    <w:rsid w:val="00074F5D"/>
    <w:rsid w:val="00082986"/>
    <w:rsid w:val="00087A73"/>
    <w:rsid w:val="00091641"/>
    <w:rsid w:val="00097AD5"/>
    <w:rsid w:val="000D79CC"/>
    <w:rsid w:val="000F2052"/>
    <w:rsid w:val="0010446B"/>
    <w:rsid w:val="001052CD"/>
    <w:rsid w:val="001121C5"/>
    <w:rsid w:val="001352D6"/>
    <w:rsid w:val="001413EC"/>
    <w:rsid w:val="001904E9"/>
    <w:rsid w:val="0020532C"/>
    <w:rsid w:val="00215B47"/>
    <w:rsid w:val="0023447B"/>
    <w:rsid w:val="00236998"/>
    <w:rsid w:val="00277463"/>
    <w:rsid w:val="002822D1"/>
    <w:rsid w:val="0029108C"/>
    <w:rsid w:val="002B5803"/>
    <w:rsid w:val="002B7C11"/>
    <w:rsid w:val="002C29C3"/>
    <w:rsid w:val="002E30E3"/>
    <w:rsid w:val="002F57CE"/>
    <w:rsid w:val="0034377D"/>
    <w:rsid w:val="0035396C"/>
    <w:rsid w:val="00364F01"/>
    <w:rsid w:val="00383E96"/>
    <w:rsid w:val="003A0AF8"/>
    <w:rsid w:val="003B2B13"/>
    <w:rsid w:val="003B46C3"/>
    <w:rsid w:val="003B6ABE"/>
    <w:rsid w:val="003F4218"/>
    <w:rsid w:val="0042339B"/>
    <w:rsid w:val="00470F9F"/>
    <w:rsid w:val="0047169E"/>
    <w:rsid w:val="004732B4"/>
    <w:rsid w:val="00487071"/>
    <w:rsid w:val="00491520"/>
    <w:rsid w:val="004A396B"/>
    <w:rsid w:val="00503506"/>
    <w:rsid w:val="0053573A"/>
    <w:rsid w:val="00545DC9"/>
    <w:rsid w:val="00546C39"/>
    <w:rsid w:val="005E38D9"/>
    <w:rsid w:val="0066151B"/>
    <w:rsid w:val="00682EB6"/>
    <w:rsid w:val="0069251A"/>
    <w:rsid w:val="006A411E"/>
    <w:rsid w:val="006C240F"/>
    <w:rsid w:val="006E14C0"/>
    <w:rsid w:val="00702ECC"/>
    <w:rsid w:val="00721958"/>
    <w:rsid w:val="0073513F"/>
    <w:rsid w:val="0074090A"/>
    <w:rsid w:val="00751EE5"/>
    <w:rsid w:val="00752250"/>
    <w:rsid w:val="0075426A"/>
    <w:rsid w:val="00786C05"/>
    <w:rsid w:val="007F7F42"/>
    <w:rsid w:val="00846530"/>
    <w:rsid w:val="0087422F"/>
    <w:rsid w:val="00880471"/>
    <w:rsid w:val="008821EE"/>
    <w:rsid w:val="00903F97"/>
    <w:rsid w:val="00906E5D"/>
    <w:rsid w:val="00937BFF"/>
    <w:rsid w:val="009426F3"/>
    <w:rsid w:val="00974C0C"/>
    <w:rsid w:val="00976B92"/>
    <w:rsid w:val="009A06D9"/>
    <w:rsid w:val="009A6AA9"/>
    <w:rsid w:val="009D0C6A"/>
    <w:rsid w:val="009F2D7C"/>
    <w:rsid w:val="009F6F26"/>
    <w:rsid w:val="00A02593"/>
    <w:rsid w:val="00A06A47"/>
    <w:rsid w:val="00A26506"/>
    <w:rsid w:val="00A30058"/>
    <w:rsid w:val="00A569B8"/>
    <w:rsid w:val="00A732E5"/>
    <w:rsid w:val="00A76E6F"/>
    <w:rsid w:val="00B3400B"/>
    <w:rsid w:val="00BC2568"/>
    <w:rsid w:val="00BD750E"/>
    <w:rsid w:val="00BF19DE"/>
    <w:rsid w:val="00C1578F"/>
    <w:rsid w:val="00C237AF"/>
    <w:rsid w:val="00C73DD8"/>
    <w:rsid w:val="00CA3280"/>
    <w:rsid w:val="00CB0D81"/>
    <w:rsid w:val="00CC6276"/>
    <w:rsid w:val="00CE67BD"/>
    <w:rsid w:val="00CF7A0E"/>
    <w:rsid w:val="00CF7A81"/>
    <w:rsid w:val="00D16993"/>
    <w:rsid w:val="00D23056"/>
    <w:rsid w:val="00D465BF"/>
    <w:rsid w:val="00D53813"/>
    <w:rsid w:val="00D6157A"/>
    <w:rsid w:val="00D650F7"/>
    <w:rsid w:val="00D66B92"/>
    <w:rsid w:val="00DD7C50"/>
    <w:rsid w:val="00DF4A84"/>
    <w:rsid w:val="00E050D7"/>
    <w:rsid w:val="00E0708A"/>
    <w:rsid w:val="00E14C48"/>
    <w:rsid w:val="00E278B6"/>
    <w:rsid w:val="00E42DBB"/>
    <w:rsid w:val="00E80A01"/>
    <w:rsid w:val="00E845BD"/>
    <w:rsid w:val="00EE48BE"/>
    <w:rsid w:val="00F55F5F"/>
    <w:rsid w:val="00F62970"/>
    <w:rsid w:val="00F8190E"/>
    <w:rsid w:val="00FA0EF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98781203">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60</cp:revision>
  <cp:lastPrinted>2025-02-13T11:51:00Z</cp:lastPrinted>
  <dcterms:created xsi:type="dcterms:W3CDTF">2019-06-20T08:10:00Z</dcterms:created>
  <dcterms:modified xsi:type="dcterms:W3CDTF">2025-05-16T10:22:00Z</dcterms:modified>
</cp:coreProperties>
</file>