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>
      <w:pPr>
        <w:spacing w:before="0" w:after="0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hy-AM" w:eastAsia="ru-RU"/>
        </w:rPr>
      </w:pPr>
    </w:p>
    <w:p>
      <w:pPr>
        <w:spacing w:before="0" w:after="0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ՀԱՅՏԱՐԱՐՈՒԹՅՈՒՆ</w:t>
      </w:r>
    </w:p>
    <w:p>
      <w:pPr>
        <w:spacing w:before="0" w:line="360" w:lineRule="auto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կնքված պայմանագրի մասին</w:t>
      </w:r>
    </w:p>
    <w:p>
      <w:pPr>
        <w:spacing w:before="0" w:after="0"/>
        <w:jc w:val="center"/>
        <w:rPr>
          <w:rFonts w:ascii="GHEA Grapalat" w:hAnsi="GHEA Grapalat" w:cs="Sylfaen"/>
          <w:b/>
          <w:szCs w:val="24"/>
          <w:lang w:val="af-ZA"/>
        </w:rPr>
      </w:pPr>
      <w:r>
        <w:rPr>
          <w:rFonts w:ascii="GHEA Grapalat" w:hAnsi="GHEA Grapalat"/>
          <w:b/>
          <w:szCs w:val="24"/>
          <w:lang w:val="af-ZA"/>
        </w:rPr>
        <w:t>ОБЪЯВЛЕНИЕ</w:t>
      </w:r>
    </w:p>
    <w:p>
      <w:pPr>
        <w:spacing w:before="0" w:after="0"/>
        <w:jc w:val="center"/>
        <w:rPr>
          <w:rFonts w:ascii="GHEA Grapalat" w:hAnsi="GHEA Grapalat"/>
          <w:b/>
          <w:szCs w:val="24"/>
          <w:lang w:val="af-ZA"/>
        </w:rPr>
      </w:pPr>
      <w:r>
        <w:rPr>
          <w:rFonts w:ascii="GHEA Grapalat" w:hAnsi="GHEA Grapalat"/>
          <w:b/>
          <w:szCs w:val="24"/>
          <w:lang w:val="af-ZA"/>
        </w:rPr>
        <w:t>о заключенном договоре</w:t>
      </w:r>
    </w:p>
    <w:p>
      <w:pPr>
        <w:spacing w:before="0" w:after="0"/>
        <w:jc w:val="center"/>
        <w:rPr>
          <w:rFonts w:ascii="GHEA Grapalat" w:hAnsi="GHEA Grapalat" w:cs="Sylfaen"/>
          <w:b/>
          <w:szCs w:val="24"/>
          <w:lang w:val="af-ZA"/>
        </w:rPr>
      </w:pPr>
    </w:p>
    <w:p>
      <w:pPr>
        <w:spacing w:before="0" w:after="0"/>
        <w:ind w:left="0"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>
        <w:rPr>
          <w:rFonts w:ascii="GHEA Grapalat" w:eastAsia="Times New Roman" w:hAnsi="GHEA Grapalat" w:cs="Sylfaen"/>
          <w:sz w:val="20"/>
          <w:szCs w:val="20"/>
          <w:lang w:val="hy-AM" w:eastAsia="ru-RU"/>
        </w:rPr>
        <w:t>Պ</w:t>
      </w:r>
      <w:bookmarkStart w:id="0" w:name="_GoBack"/>
      <w:bookmarkEnd w:id="0"/>
      <w:r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ատվիրատուն՝ </w:t>
      </w:r>
      <w:r>
        <w:rPr>
          <w:rFonts w:ascii="GHEA Grapalat" w:eastAsia="Times New Roman" w:hAnsi="GHEA Grapalat" w:cs="Sylfaen"/>
          <w:sz w:val="20"/>
          <w:szCs w:val="20"/>
          <w:lang w:val="af-ZA" w:eastAsia="ru-RU"/>
        </w:rPr>
        <w:t>ՀՀ աշխատանքի և սոցիալական հարցերի նախարարությունը</w:t>
      </w:r>
      <w:r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, որը գտնվում է ք.Երևան, Կառավարական տուն 3 հասցեում, </w:t>
      </w:r>
      <w:r>
        <w:rPr>
          <w:rFonts w:ascii="GHEA Grapalat" w:eastAsia="Times New Roman" w:hAnsi="GHEA Grapalat" w:cs="Sylfaen"/>
          <w:sz w:val="20"/>
          <w:szCs w:val="20"/>
          <w:lang w:val="af-ZA" w:eastAsia="ru-RU"/>
        </w:rPr>
        <w:t>ստորև ներկայացնում է իր կարիքների</w:t>
      </w:r>
      <w:r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</w:t>
      </w:r>
      <w:r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կայքերի Արմավիրի մարզի Գեղակերտ համայնքի </w:t>
      </w:r>
      <w:r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տեխնիկական հսկողության </w:t>
      </w:r>
      <w:r>
        <w:rPr>
          <w:rFonts w:ascii="GHEA Grapalat" w:eastAsia="Times New Roman" w:hAnsi="GHEA Grapalat" w:cs="Sylfaen"/>
          <w:sz w:val="20"/>
          <w:szCs w:val="20"/>
          <w:lang w:val="af-ZA" w:eastAsia="ru-RU"/>
        </w:rPr>
        <w:t>ձեռքբերման նպատակով կազմակերպված ԱՍՀՆ-ԳՀԾՁԲ-22/21</w:t>
      </w:r>
      <w:r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</w:t>
      </w:r>
      <w:r>
        <w:rPr>
          <w:rFonts w:ascii="GHEA Grapalat" w:eastAsia="Times New Roman" w:hAnsi="GHEA Grapalat" w:cs="Sylfaen"/>
          <w:sz w:val="20"/>
          <w:szCs w:val="20"/>
          <w:lang w:val="af-ZA" w:eastAsia="ru-RU"/>
        </w:rPr>
        <w:t>ծածկագրով գնման ընթացակարգի արդյունքում կնքված պայմանագրի մասին տեղեկատվությունը`</w:t>
      </w:r>
    </w:p>
    <w:p>
      <w:pPr>
        <w:spacing w:before="0" w:after="0"/>
        <w:ind w:left="0"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>
        <w:rPr>
          <w:rFonts w:ascii="GHEA Grapalat" w:eastAsia="Times New Roman" w:hAnsi="GHEA Grapalat" w:cs="Sylfaen"/>
          <w:sz w:val="20"/>
          <w:szCs w:val="20"/>
          <w:lang w:val="af-ZA" w:eastAsia="ru-RU"/>
        </w:rPr>
        <w:t>Вышестоящий заказчик, Министерство труда и социальных дел Республики Армения, расположенный по адресу: Дом правительства, 3, Ереван, представляет следующие документы в результате закупочной процедуры с кодом ԱՍՀՆ-ԳՀԾՁԲ-22/21, организованной для закупка Услуги по обновлению веб-сайтов</w:t>
      </w:r>
      <w:r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</w:t>
      </w:r>
      <w:r>
        <w:rPr>
          <w:rFonts w:ascii="GHEA Grapalat" w:eastAsia="Times New Roman" w:hAnsi="GHEA Grapalat" w:cs="Sylfaen"/>
          <w:sz w:val="20"/>
          <w:szCs w:val="20"/>
          <w:lang w:val="af-ZA" w:eastAsia="ru-RU"/>
        </w:rPr>
        <w:t>для нужд․</w:t>
      </w:r>
    </w:p>
    <w:tbl>
      <w:tblPr>
        <w:tblW w:w="11212" w:type="dxa"/>
        <w:tblInd w:w="-52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4"/>
        <w:gridCol w:w="168"/>
        <w:gridCol w:w="403"/>
        <w:gridCol w:w="841"/>
        <w:gridCol w:w="29"/>
        <w:gridCol w:w="265"/>
        <w:gridCol w:w="25"/>
        <w:gridCol w:w="965"/>
        <w:gridCol w:w="10"/>
        <w:gridCol w:w="382"/>
        <w:gridCol w:w="254"/>
        <w:gridCol w:w="159"/>
        <w:gridCol w:w="49"/>
        <w:gridCol w:w="603"/>
        <w:gridCol w:w="8"/>
        <w:gridCol w:w="170"/>
        <w:gridCol w:w="693"/>
        <w:gridCol w:w="332"/>
        <w:gridCol w:w="67"/>
        <w:gridCol w:w="14"/>
        <w:gridCol w:w="519"/>
        <w:gridCol w:w="204"/>
        <w:gridCol w:w="187"/>
        <w:gridCol w:w="154"/>
        <w:gridCol w:w="273"/>
        <w:gridCol w:w="459"/>
        <w:gridCol w:w="39"/>
        <w:gridCol w:w="636"/>
        <w:gridCol w:w="208"/>
        <w:gridCol w:w="26"/>
        <w:gridCol w:w="186"/>
        <w:gridCol w:w="35"/>
        <w:gridCol w:w="220"/>
        <w:gridCol w:w="1815"/>
      </w:tblGrid>
      <w:tr>
        <w:trPr>
          <w:trHeight w:val="146"/>
        </w:trPr>
        <w:tc>
          <w:tcPr>
            <w:tcW w:w="982" w:type="dxa"/>
            <w:gridSpan w:val="2"/>
            <w:shd w:val="clear" w:color="auto" w:fill="auto"/>
            <w:vAlign w:val="center"/>
          </w:tcPr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</w:p>
        </w:tc>
        <w:tc>
          <w:tcPr>
            <w:tcW w:w="10230" w:type="dxa"/>
            <w:gridSpan w:val="32"/>
            <w:shd w:val="clear" w:color="auto" w:fill="auto"/>
            <w:vAlign w:val="center"/>
          </w:tcPr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Գ</w:t>
            </w:r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 xml:space="preserve">նման </w:t>
            </w:r>
            <w:proofErr w:type="spellStart"/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առարկայի</w:t>
            </w:r>
            <w:proofErr w:type="spellEnd"/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 </w:t>
            </w:r>
            <w:proofErr w:type="spellStart"/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Предмет</w:t>
            </w:r>
            <w:proofErr w:type="spellEnd"/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закупки</w:t>
            </w:r>
            <w:proofErr w:type="spellEnd"/>
          </w:p>
        </w:tc>
      </w:tr>
      <w:tr>
        <w:trPr>
          <w:trHeight w:val="110"/>
        </w:trPr>
        <w:tc>
          <w:tcPr>
            <w:tcW w:w="982" w:type="dxa"/>
            <w:gridSpan w:val="2"/>
            <w:vMerge w:val="restart"/>
            <w:shd w:val="clear" w:color="auto" w:fill="auto"/>
            <w:vAlign w:val="center"/>
          </w:tcPr>
          <w:p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չափաբաժնի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համարը</w:t>
            </w:r>
            <w:proofErr w:type="spellEnd"/>
          </w:p>
          <w:p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номер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лота</w:t>
            </w:r>
            <w:proofErr w:type="spellEnd"/>
          </w:p>
        </w:tc>
        <w:tc>
          <w:tcPr>
            <w:tcW w:w="1538" w:type="dxa"/>
            <w:gridSpan w:val="4"/>
            <w:vMerge w:val="restart"/>
            <w:shd w:val="clear" w:color="auto" w:fill="auto"/>
            <w:vAlign w:val="center"/>
          </w:tcPr>
          <w:p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Անվանումը</w:t>
            </w:r>
            <w:proofErr w:type="spellEnd"/>
          </w:p>
          <w:p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наименование</w:t>
            </w:r>
            <w:proofErr w:type="spellEnd"/>
          </w:p>
        </w:tc>
        <w:tc>
          <w:tcPr>
            <w:tcW w:w="990" w:type="dxa"/>
            <w:gridSpan w:val="2"/>
            <w:vMerge w:val="restart"/>
            <w:shd w:val="clear" w:color="auto" w:fill="auto"/>
            <w:vAlign w:val="center"/>
          </w:tcPr>
          <w:p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չափման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միավորը</w:t>
            </w:r>
            <w:proofErr w:type="spellEnd"/>
          </w:p>
          <w:p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единица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измерения</w:t>
            </w:r>
            <w:proofErr w:type="spellEnd"/>
          </w:p>
        </w:tc>
        <w:tc>
          <w:tcPr>
            <w:tcW w:w="1457" w:type="dxa"/>
            <w:gridSpan w:val="6"/>
            <w:shd w:val="clear" w:color="auto" w:fill="auto"/>
            <w:vAlign w:val="center"/>
          </w:tcPr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քանակը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vertAlign w:val="superscript"/>
                <w:lang w:eastAsia="ru-RU"/>
              </w:rPr>
              <w:footnoteReference w:id="1"/>
            </w:r>
            <w: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количество</w:t>
            </w:r>
            <w:proofErr w:type="spellEnd"/>
          </w:p>
        </w:tc>
        <w:tc>
          <w:tcPr>
            <w:tcW w:w="2621" w:type="dxa"/>
            <w:gridSpan w:val="11"/>
            <w:shd w:val="clear" w:color="auto" w:fill="auto"/>
            <w:vAlign w:val="center"/>
          </w:tcPr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նախահաշվային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գինը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  </w:t>
            </w:r>
          </w:p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сметная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цена</w:t>
            </w:r>
            <w:proofErr w:type="spellEnd"/>
          </w:p>
        </w:tc>
        <w:tc>
          <w:tcPr>
            <w:tcW w:w="1809" w:type="dxa"/>
            <w:gridSpan w:val="8"/>
            <w:vMerge w:val="restart"/>
            <w:shd w:val="clear" w:color="auto" w:fill="auto"/>
            <w:vAlign w:val="center"/>
          </w:tcPr>
          <w:p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համառոտ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նկարագրությունը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(</w:t>
            </w:r>
            <w:proofErr w:type="spellStart"/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տեխնիկական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բնութագիր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)</w:t>
            </w:r>
          </w:p>
          <w:p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краткое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описание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(</w:t>
            </w:r>
            <w:proofErr w:type="spellStart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техническая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характеристика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)</w:t>
            </w:r>
          </w:p>
        </w:tc>
        <w:tc>
          <w:tcPr>
            <w:tcW w:w="1815" w:type="dxa"/>
            <w:vMerge w:val="restart"/>
            <w:shd w:val="clear" w:color="auto" w:fill="auto"/>
            <w:vAlign w:val="center"/>
          </w:tcPr>
          <w:p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պայմանագրով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նախատեսված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համառոտ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նկարագրությունը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(</w:t>
            </w:r>
            <w:proofErr w:type="spellStart"/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տեխնիկական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բնութագիր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)</w:t>
            </w:r>
          </w:p>
          <w:p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/>
              </w:rPr>
              <w:t>краткое описание (техническая характеристика), предусмотренное по договору</w:t>
            </w:r>
          </w:p>
        </w:tc>
      </w:tr>
      <w:tr>
        <w:trPr>
          <w:trHeight w:val="175"/>
        </w:trPr>
        <w:tc>
          <w:tcPr>
            <w:tcW w:w="982" w:type="dxa"/>
            <w:gridSpan w:val="2"/>
            <w:vMerge/>
            <w:shd w:val="clear" w:color="auto" w:fill="auto"/>
            <w:vAlign w:val="center"/>
          </w:tcPr>
          <w:p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/>
              </w:rPr>
            </w:pPr>
          </w:p>
        </w:tc>
        <w:tc>
          <w:tcPr>
            <w:tcW w:w="1538" w:type="dxa"/>
            <w:gridSpan w:val="4"/>
            <w:vMerge/>
            <w:shd w:val="clear" w:color="auto" w:fill="auto"/>
            <w:vAlign w:val="center"/>
          </w:tcPr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</w:p>
        </w:tc>
        <w:tc>
          <w:tcPr>
            <w:tcW w:w="990" w:type="dxa"/>
            <w:gridSpan w:val="2"/>
            <w:vMerge/>
            <w:shd w:val="clear" w:color="auto" w:fill="auto"/>
            <w:vAlign w:val="center"/>
          </w:tcPr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</w:p>
        </w:tc>
        <w:tc>
          <w:tcPr>
            <w:tcW w:w="646" w:type="dxa"/>
            <w:gridSpan w:val="3"/>
            <w:vMerge w:val="restart"/>
            <w:shd w:val="clear" w:color="auto" w:fill="auto"/>
            <w:vAlign w:val="center"/>
          </w:tcPr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val="ru-RU" w:eastAsia="ru-RU"/>
              </w:rPr>
            </w:pPr>
            <w:proofErr w:type="spellStart"/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ֆինանսական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միջոցներով</w:t>
            </w:r>
            <w:proofErr w:type="spellEnd"/>
            <w:r>
              <w:rPr>
                <w:rFonts w:ascii="GHEA Grapalat" w:eastAsia="Times New Roman" w:hAnsi="GHEA Grapalat"/>
                <w:b/>
                <w:sz w:val="12"/>
                <w:szCs w:val="12"/>
                <w:vertAlign w:val="superscript"/>
                <w:lang w:eastAsia="ru-RU"/>
              </w:rPr>
              <w:footnoteReference w:id="2"/>
            </w:r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val="ru-RU" w:eastAsia="ru-RU"/>
              </w:rPr>
              <w:t xml:space="preserve"> по имеющимся финансовым средствам</w:t>
            </w:r>
          </w:p>
        </w:tc>
        <w:tc>
          <w:tcPr>
            <w:tcW w:w="811" w:type="dxa"/>
            <w:gridSpan w:val="3"/>
            <w:vMerge w:val="restart"/>
            <w:shd w:val="clear" w:color="auto" w:fill="auto"/>
            <w:vAlign w:val="center"/>
          </w:tcPr>
          <w:p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Ընդհանուր</w:t>
            </w:r>
            <w:proofErr w:type="spellEnd"/>
          </w:p>
          <w:p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общее</w:t>
            </w:r>
            <w:proofErr w:type="spellEnd"/>
          </w:p>
        </w:tc>
        <w:tc>
          <w:tcPr>
            <w:tcW w:w="2621" w:type="dxa"/>
            <w:gridSpan w:val="11"/>
            <w:shd w:val="clear" w:color="auto" w:fill="auto"/>
            <w:vAlign w:val="center"/>
          </w:tcPr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/ՀՀ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դրամ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/ /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драмов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РА/</w:t>
            </w:r>
          </w:p>
        </w:tc>
        <w:tc>
          <w:tcPr>
            <w:tcW w:w="1809" w:type="dxa"/>
            <w:gridSpan w:val="8"/>
            <w:vMerge/>
            <w:shd w:val="clear" w:color="auto" w:fill="auto"/>
          </w:tcPr>
          <w:p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15" w:type="dxa"/>
            <w:vMerge/>
            <w:shd w:val="clear" w:color="auto" w:fill="auto"/>
          </w:tcPr>
          <w:p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>
        <w:trPr>
          <w:trHeight w:val="275"/>
        </w:trPr>
        <w:tc>
          <w:tcPr>
            <w:tcW w:w="982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538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90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646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11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val="ru-RU" w:eastAsia="ru-RU"/>
              </w:rPr>
            </w:pPr>
            <w:proofErr w:type="spellStart"/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ֆինանսական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միջոցներով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2"/>
                <w:szCs w:val="12"/>
                <w:vertAlign w:val="superscript"/>
                <w:lang w:eastAsia="ru-RU"/>
              </w:rPr>
              <w:footnoteReference w:id="3"/>
            </w:r>
          </w:p>
          <w:p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val="ru-RU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val="ru-RU" w:eastAsia="ru-RU"/>
              </w:rPr>
              <w:t>по имеющимся финансовым средствам</w:t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Ընդհանուր</w:t>
            </w:r>
            <w:proofErr w:type="spellEnd"/>
          </w:p>
          <w:p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общая</w:t>
            </w:r>
            <w:proofErr w:type="spellEnd"/>
          </w:p>
        </w:tc>
        <w:tc>
          <w:tcPr>
            <w:tcW w:w="1809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</w:tcPr>
          <w:p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15" w:type="dxa"/>
            <w:vMerge/>
            <w:tcBorders>
              <w:bottom w:val="single" w:sz="8" w:space="0" w:color="auto"/>
            </w:tcBorders>
            <w:shd w:val="clear" w:color="auto" w:fill="auto"/>
          </w:tcPr>
          <w:p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>
        <w:trPr>
          <w:trHeight w:val="40"/>
        </w:trPr>
        <w:tc>
          <w:tcPr>
            <w:tcW w:w="982" w:type="dxa"/>
            <w:gridSpan w:val="2"/>
            <w:shd w:val="clear" w:color="auto" w:fill="auto"/>
            <w:vAlign w:val="center"/>
          </w:tcPr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53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>
            <w:pPr>
              <w:ind w:left="76" w:right="425" w:firstLine="0"/>
              <w:jc w:val="center"/>
              <w:rPr>
                <w:rFonts w:ascii="GHEA Grapalat" w:hAnsi="GHEA Grapalat"/>
                <w:i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i/>
                <w:sz w:val="16"/>
                <w:szCs w:val="16"/>
                <w:lang w:val="af-ZA"/>
              </w:rPr>
              <w:t>71351540/1</w:t>
            </w:r>
          </w:p>
          <w:p>
            <w:pPr>
              <w:ind w:left="77" w:hanging="180"/>
              <w:jc w:val="center"/>
              <w:rPr>
                <w:rFonts w:ascii="GHEA Grapalat" w:hAnsi="GHEA Grapalat"/>
                <w:i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i/>
                <w:sz w:val="16"/>
                <w:szCs w:val="16"/>
                <w:lang w:val="af-ZA"/>
              </w:rPr>
              <w:t>Արմավիրի մարզի Գեղակերտ համայնքի տան վերանորոգման աշխատանքների որակի տեխնիկական հսկողության ծառայություններ</w:t>
            </w:r>
            <w:r>
              <w:rPr>
                <w:rFonts w:ascii="GHEA Grapalat" w:hAnsi="GHEA Grapalat"/>
                <w:i/>
                <w:sz w:val="16"/>
                <w:szCs w:val="16"/>
                <w:lang w:val="af-ZA"/>
              </w:rPr>
              <w:t xml:space="preserve"> </w:t>
            </w:r>
          </w:p>
        </w:tc>
        <w:tc>
          <w:tcPr>
            <w:tcW w:w="990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sz w:val="16"/>
                <w:szCs w:val="16"/>
                <w:lang w:val="hy-AM"/>
              </w:rPr>
              <w:t>դրամ</w:t>
            </w:r>
          </w:p>
        </w:tc>
        <w:tc>
          <w:tcPr>
            <w:tcW w:w="64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6"/>
                <w:lang w:eastAsia="ru-RU"/>
              </w:rPr>
            </w:pP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6"/>
                <w:lang w:val="hy-AM" w:eastAsia="ru-RU"/>
              </w:rPr>
            </w:pPr>
            <w:r>
              <w:rPr>
                <w:rFonts w:ascii="GHEA Grapalat" w:eastAsia="Times New Roman" w:hAnsi="GHEA Grapalat"/>
                <w:sz w:val="16"/>
                <w:szCs w:val="16"/>
                <w:lang w:val="hy-AM" w:eastAsia="ru-RU"/>
              </w:rPr>
              <w:t>1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6"/>
                <w:lang w:eastAsia="ru-RU"/>
              </w:rPr>
            </w:pP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6"/>
                <w:lang w:val="hy-AM" w:eastAsia="ru-RU"/>
              </w:rPr>
            </w:pPr>
            <w:r>
              <w:rPr>
                <w:rFonts w:ascii="GHEA Grapalat" w:eastAsia="Times New Roman" w:hAnsi="GHEA Grapalat"/>
                <w:sz w:val="16"/>
                <w:szCs w:val="16"/>
                <w:lang w:val="hy-AM" w:eastAsia="ru-RU"/>
              </w:rPr>
              <w:t>476000</w:t>
            </w:r>
          </w:p>
        </w:tc>
        <w:tc>
          <w:tcPr>
            <w:tcW w:w="1809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2"/>
                <w:szCs w:val="12"/>
                <w:lang w:val="hy-AM" w:eastAsia="ru-RU"/>
              </w:rPr>
            </w:pPr>
            <w:r>
              <w:rPr>
                <w:rFonts w:ascii="GHEA Grapalat" w:eastAsia="Times New Roman" w:hAnsi="GHEA Grapalat"/>
                <w:sz w:val="12"/>
                <w:szCs w:val="12"/>
                <w:lang w:val="hy-AM" w:eastAsia="ru-RU"/>
              </w:rPr>
              <w:t>Տեխնիկական հսկողությունը պետք է իրականացվի պատվիրատուի կողմից տրամադրվող նախագծանախահաշվային փաստաթղթերի հիման վրա և պետք է ապահովի վերանորոգման աշխատանքների իրականացումը անհրաժեշտ որակով և ինժեներական նախագծերին, տեխնիկական առանձնահատկություններին և այլ պայմանագրային փաստաթղթերին համապատասխան:</w:t>
            </w:r>
          </w:p>
          <w:p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2"/>
                <w:szCs w:val="12"/>
                <w:lang w:val="hy-AM" w:eastAsia="ru-RU"/>
              </w:rPr>
            </w:pPr>
            <w:r>
              <w:rPr>
                <w:rFonts w:ascii="GHEA Grapalat" w:eastAsia="Times New Roman" w:hAnsi="GHEA Grapalat"/>
                <w:sz w:val="12"/>
                <w:szCs w:val="12"/>
                <w:lang w:val="hy-AM" w:eastAsia="ru-RU"/>
              </w:rPr>
              <w:t>2. Տեխնիկական հսկողության ծառայությունները պետք է իրականացվեն ՀՀ Քաղաքաշինության նախարարի 28.04.1998թ.-ի N44 հրամանով հաստատված շինարարության որակի տեխնիկական հսկողության իրականացման հրահանգով և Պատվիրատուի կողմից տրամադրվող պարտականությունների շրջանակներում:</w:t>
            </w:r>
          </w:p>
          <w:p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2"/>
                <w:szCs w:val="12"/>
                <w:lang w:val="hy-AM" w:eastAsia="ru-RU"/>
              </w:rPr>
            </w:pPr>
            <w:r>
              <w:rPr>
                <w:rFonts w:ascii="GHEA Grapalat" w:eastAsia="Times New Roman" w:hAnsi="GHEA Grapalat"/>
                <w:sz w:val="12"/>
                <w:szCs w:val="12"/>
                <w:lang w:val="hy-AM" w:eastAsia="ru-RU"/>
              </w:rPr>
              <w:t>3. Տեխնիկական հսկողություն իրականացնողի հիմնական պարտականություններն են՝</w:t>
            </w:r>
          </w:p>
          <w:p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2"/>
                <w:szCs w:val="12"/>
                <w:lang w:val="hy-AM" w:eastAsia="ru-RU"/>
              </w:rPr>
            </w:pPr>
            <w:r>
              <w:rPr>
                <w:rFonts w:ascii="GHEA Grapalat" w:eastAsia="Times New Roman" w:hAnsi="GHEA Grapalat"/>
                <w:sz w:val="12"/>
                <w:szCs w:val="12"/>
                <w:lang w:val="hy-AM" w:eastAsia="ru-RU"/>
              </w:rPr>
              <w:t>• շինարարության սկզբից մինչև ավարտը ընկած ժամանակահատվածում պարբերաբար լուսանկարահանել շինարարության օբյեկտի վիճակը,</w:t>
            </w:r>
          </w:p>
          <w:p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2"/>
                <w:szCs w:val="12"/>
                <w:lang w:val="hy-AM" w:eastAsia="ru-RU"/>
              </w:rPr>
            </w:pPr>
            <w:r>
              <w:rPr>
                <w:rFonts w:ascii="GHEA Grapalat" w:eastAsia="Times New Roman" w:hAnsi="GHEA Grapalat"/>
                <w:sz w:val="12"/>
                <w:szCs w:val="12"/>
                <w:lang w:val="hy-AM" w:eastAsia="ru-RU"/>
              </w:rPr>
              <w:t xml:space="preserve">• ապահովել կատարվող աշխատանքների </w:t>
            </w:r>
            <w:r>
              <w:rPr>
                <w:rFonts w:ascii="GHEA Grapalat" w:eastAsia="Times New Roman" w:hAnsi="GHEA Grapalat"/>
                <w:sz w:val="12"/>
                <w:szCs w:val="12"/>
                <w:lang w:val="hy-AM" w:eastAsia="ru-RU"/>
              </w:rPr>
              <w:lastRenderedPageBreak/>
              <w:t>համապատասխանությունը կապալի պայմանագրի պայմաններին, շինարարական նորմերին և կանոններին,</w:t>
            </w:r>
          </w:p>
          <w:p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2"/>
                <w:szCs w:val="12"/>
                <w:lang w:val="hy-AM" w:eastAsia="ru-RU"/>
              </w:rPr>
            </w:pPr>
            <w:r>
              <w:rPr>
                <w:rFonts w:ascii="GHEA Grapalat" w:eastAsia="Times New Roman" w:hAnsi="GHEA Grapalat"/>
                <w:sz w:val="12"/>
                <w:szCs w:val="12"/>
                <w:lang w:val="hy-AM" w:eastAsia="ru-RU"/>
              </w:rPr>
              <w:t>• Կապալառուի կողմից պայմանագրային պարտավորությունների կատարման շեղում հայտնաբերելուց անհապաղ տեղեկացնել Պատվիրատուին` կցելով համապատասխան հիմնավորումը,</w:t>
            </w:r>
          </w:p>
          <w:p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2"/>
                <w:szCs w:val="12"/>
                <w:lang w:val="hy-AM" w:eastAsia="ru-RU"/>
              </w:rPr>
            </w:pPr>
            <w:r>
              <w:rPr>
                <w:rFonts w:ascii="GHEA Grapalat" w:eastAsia="Times New Roman" w:hAnsi="GHEA Grapalat"/>
                <w:sz w:val="12"/>
                <w:szCs w:val="12"/>
                <w:lang w:val="hy-AM" w:eastAsia="ru-RU"/>
              </w:rPr>
              <w:t>• ստուգել և հաստատել աշխատանքային և կատարողական փաստաթղթերը՝ նախապատրաստված Կապալառուի կողմից,</w:t>
            </w:r>
          </w:p>
          <w:p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2"/>
                <w:szCs w:val="12"/>
                <w:lang w:val="hy-AM" w:eastAsia="ru-RU"/>
              </w:rPr>
            </w:pPr>
            <w:r>
              <w:rPr>
                <w:rFonts w:ascii="GHEA Grapalat" w:eastAsia="Times New Roman" w:hAnsi="GHEA Grapalat"/>
                <w:sz w:val="12"/>
                <w:szCs w:val="12"/>
                <w:lang w:val="hy-AM" w:eastAsia="ru-RU"/>
              </w:rPr>
              <w:t>• ստուգել և վերահսկել նյութերի որակը և շինարարական աշխատանքների ընթացքը, որպեսզի ապահովվի մասնագրերին և պայմանագրային մյուս փաստաթղթերին համապատասխանությունը: Արգելել կամ փոփոխել այն նյութերը, որոնք չեն համապատասխանում անհրաժեշտ պայմաններին,</w:t>
            </w:r>
          </w:p>
          <w:p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2"/>
                <w:szCs w:val="12"/>
                <w:lang w:val="hy-AM" w:eastAsia="ru-RU"/>
              </w:rPr>
            </w:pPr>
            <w:r>
              <w:rPr>
                <w:rFonts w:ascii="GHEA Grapalat" w:eastAsia="Times New Roman" w:hAnsi="GHEA Grapalat"/>
                <w:sz w:val="12"/>
                <w:szCs w:val="12"/>
                <w:lang w:val="hy-AM" w:eastAsia="ru-RU"/>
              </w:rPr>
              <w:t>• վերահսկել և գնահատել շինաշխատանքների գործընթացը, որպեսզի ապահովվի շինաշխատանքների ավարտը՝ համաձայն պայմանագրի մեջ նշված ժամանակացույցի,</w:t>
            </w:r>
          </w:p>
          <w:p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2"/>
                <w:szCs w:val="12"/>
                <w:lang w:val="hy-AM" w:eastAsia="ru-RU"/>
              </w:rPr>
            </w:pPr>
            <w:r>
              <w:rPr>
                <w:rFonts w:ascii="GHEA Grapalat" w:eastAsia="Times New Roman" w:hAnsi="GHEA Grapalat"/>
                <w:sz w:val="12"/>
                <w:szCs w:val="12"/>
                <w:lang w:val="hy-AM" w:eastAsia="ru-RU"/>
              </w:rPr>
              <w:t>• ստուգել բոլոր այն փորձարկումների արդյունքները, որոնք անհրաժեշտ են որակի ապահովման համար: Ստուգել բոլոր փաստաթղթերը (այդ թվում՝ բոլոր ծավալային չափերը և հաշվարկները), որոնք անհրաժեշտ են համապատասխան վճարումները իրականացնելու համար,</w:t>
            </w:r>
          </w:p>
          <w:p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2"/>
                <w:szCs w:val="12"/>
                <w:lang w:val="hy-AM" w:eastAsia="ru-RU"/>
              </w:rPr>
            </w:pPr>
            <w:r>
              <w:rPr>
                <w:rFonts w:ascii="GHEA Grapalat" w:eastAsia="Times New Roman" w:hAnsi="GHEA Grapalat"/>
                <w:sz w:val="12"/>
                <w:szCs w:val="12"/>
                <w:lang w:val="hy-AM" w:eastAsia="ru-RU"/>
              </w:rPr>
              <w:t xml:space="preserve"> • կատարել որակի և քանակի ամենօրյա հսկումը (համապատասխան նշում կատարելով մատյանում), այն աշխատանքների անհրաժեշտ փորձարկումները, որոնք կատարվում են կապալի պայմանագրի իրականացման շրջանակում,</w:t>
            </w:r>
          </w:p>
          <w:p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2"/>
                <w:szCs w:val="12"/>
                <w:lang w:val="hy-AM" w:eastAsia="ru-RU"/>
              </w:rPr>
            </w:pPr>
            <w:r>
              <w:rPr>
                <w:rFonts w:ascii="GHEA Grapalat" w:eastAsia="Times New Roman" w:hAnsi="GHEA Grapalat"/>
                <w:sz w:val="12"/>
                <w:szCs w:val="12"/>
                <w:lang w:val="hy-AM" w:eastAsia="ru-RU"/>
              </w:rPr>
              <w:t>•  կատարվող աշխատանքների ժամանակ առաջացող խնդիրների դեպքում առաջարկել այն գործողությունները, որոնք անհրաժեշտ կլինեն աշխատանքային ժամանակացույցը պահպանելու համար,</w:t>
            </w:r>
          </w:p>
          <w:p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2"/>
                <w:szCs w:val="12"/>
                <w:lang w:val="hy-AM" w:eastAsia="ru-RU"/>
              </w:rPr>
            </w:pPr>
            <w:r>
              <w:rPr>
                <w:rFonts w:ascii="GHEA Grapalat" w:eastAsia="Times New Roman" w:hAnsi="GHEA Grapalat"/>
                <w:sz w:val="12"/>
                <w:szCs w:val="12"/>
                <w:lang w:val="hy-AM" w:eastAsia="ru-RU"/>
              </w:rPr>
              <w:t>• հսկել բոլոր այն հարցերը, որոնք կապված են աշխատանքներն անվտանգ իրականացնելու հետ և հրահանգել Կապալառուին տեղադրել նշաններ, լուսավորության անվտանգության սարքերի և այլ համապատասխան միջոցառումների իրականացման համար,</w:t>
            </w:r>
          </w:p>
          <w:p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2"/>
                <w:szCs w:val="12"/>
                <w:lang w:val="hy-AM" w:eastAsia="ru-RU"/>
              </w:rPr>
            </w:pPr>
            <w:r>
              <w:rPr>
                <w:rFonts w:ascii="GHEA Grapalat" w:eastAsia="Times New Roman" w:hAnsi="GHEA Grapalat"/>
                <w:sz w:val="12"/>
                <w:szCs w:val="12"/>
                <w:lang w:val="hy-AM" w:eastAsia="ru-RU"/>
              </w:rPr>
              <w:t>• կատարել անհրաժեշտ օրական գրառումներ, որոնք անհրաժեշտ են պայմանագրի ընթացքի վերահսկման համար (ընդգրկելով կատարված աշխատանքների հավաստագրերը և այլ անհրաժեշտ փաստաթղթեր),</w:t>
            </w:r>
          </w:p>
          <w:p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2"/>
                <w:szCs w:val="12"/>
                <w:lang w:val="hy-AM" w:eastAsia="ru-RU"/>
              </w:rPr>
            </w:pPr>
            <w:r>
              <w:rPr>
                <w:rFonts w:ascii="GHEA Grapalat" w:eastAsia="Times New Roman" w:hAnsi="GHEA Grapalat"/>
                <w:sz w:val="12"/>
                <w:szCs w:val="12"/>
                <w:lang w:val="hy-AM" w:eastAsia="ru-RU"/>
              </w:rPr>
              <w:lastRenderedPageBreak/>
              <w:t>• կատարել աշխատանքների ծավալների չափագրումներ և մասնակցել կատարողական փաստաթղթերի կազմմանը և հաստատմանը,</w:t>
            </w:r>
          </w:p>
          <w:p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2"/>
                <w:szCs w:val="12"/>
                <w:lang w:val="hy-AM" w:eastAsia="ru-RU"/>
              </w:rPr>
            </w:pPr>
            <w:r>
              <w:rPr>
                <w:rFonts w:ascii="GHEA Grapalat" w:eastAsia="Times New Roman" w:hAnsi="GHEA Grapalat"/>
                <w:sz w:val="12"/>
                <w:szCs w:val="12"/>
                <w:lang w:val="hy-AM" w:eastAsia="ru-RU"/>
              </w:rPr>
              <w:t>• կատարվող աշխատանքների ավարտից հետո Պատվիրատուին ներկայացնել Հաշվետվություն կատարված աշխատանքների վերաբերյալ` կցելով լուսանկարները, անհրաժեշտ գծագրերը, ծածկված աշխատանքների ակտերը, փորձարկման ակտերը, սերտիֆիկատները,</w:t>
            </w:r>
          </w:p>
          <w:p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2"/>
                <w:szCs w:val="12"/>
                <w:lang w:val="hy-AM" w:eastAsia="ru-RU"/>
              </w:rPr>
            </w:pPr>
            <w:r>
              <w:rPr>
                <w:rFonts w:ascii="GHEA Grapalat" w:eastAsia="Times New Roman" w:hAnsi="GHEA Grapalat"/>
                <w:sz w:val="12"/>
                <w:szCs w:val="12"/>
                <w:lang w:val="hy-AM" w:eastAsia="ru-RU"/>
              </w:rPr>
              <w:t>• Պատվիրատուի ցուցումով չափագրել կատարման ենթակա աշխատանքները:</w:t>
            </w:r>
          </w:p>
          <w:p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2"/>
                <w:szCs w:val="12"/>
                <w:lang w:val="hy-AM" w:eastAsia="ru-RU"/>
              </w:rPr>
            </w:pPr>
            <w:r>
              <w:rPr>
                <w:rFonts w:ascii="GHEA Grapalat" w:eastAsia="Times New Roman" w:hAnsi="GHEA Grapalat"/>
                <w:sz w:val="12"/>
                <w:szCs w:val="12"/>
                <w:lang w:val="hy-AM" w:eastAsia="ru-RU"/>
              </w:rPr>
              <w:t>Հաշվետվության ներկայացման պահանջներ</w:t>
            </w:r>
          </w:p>
          <w:p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2"/>
                <w:szCs w:val="12"/>
                <w:lang w:val="hy-AM" w:eastAsia="ru-RU"/>
              </w:rPr>
            </w:pPr>
            <w:r>
              <w:rPr>
                <w:rFonts w:ascii="GHEA Grapalat" w:eastAsia="Times New Roman" w:hAnsi="GHEA Grapalat"/>
                <w:sz w:val="12"/>
                <w:szCs w:val="12"/>
                <w:lang w:val="hy-AM" w:eastAsia="ru-RU"/>
              </w:rPr>
              <w:t>Կատարողը պարտավոր է ներկայացնել Պատվիրատուին ծառայությունների վերաբերյալ ընթացիկ և ավարտական հաշվետվություններ, որոնք հանդիսանում են ծառայությունների հանձնման-ընդունման արձանագրությունները հիմնավորող փաստաթղթեր:</w:t>
            </w:r>
          </w:p>
          <w:p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2"/>
                <w:szCs w:val="12"/>
                <w:lang w:val="hy-AM" w:eastAsia="ru-RU"/>
              </w:rPr>
            </w:pPr>
            <w:r>
              <w:rPr>
                <w:rFonts w:ascii="GHEA Grapalat" w:eastAsia="Times New Roman" w:hAnsi="GHEA Grapalat"/>
                <w:sz w:val="12"/>
                <w:szCs w:val="12"/>
                <w:lang w:val="hy-AM" w:eastAsia="ru-RU"/>
              </w:rPr>
              <w:t>Ավարտական հաշվետվությունը պետք է ընդգրկի հետևյալ փաստաթղթերի պատճենները՝ ավարտական կատարողական փաստաթղթեր, ամփոփ նկարագրական տեղեկանք իրականացված  աշխատանքների ամբողջ ժամանակահատվածի համար, նախքան կատարվող աշխատանքների սկիզբը, ինչպես նաև ավարտված օբյեկտի լուսանկարներ:</w:t>
            </w:r>
          </w:p>
          <w:p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2"/>
                <w:szCs w:val="12"/>
                <w:lang w:val="hy-AM" w:eastAsia="ru-RU"/>
              </w:rPr>
            </w:pPr>
            <w:r>
              <w:rPr>
                <w:rFonts w:ascii="GHEA Grapalat" w:eastAsia="Times New Roman" w:hAnsi="GHEA Grapalat"/>
                <w:sz w:val="12"/>
                <w:szCs w:val="12"/>
                <w:lang w:val="hy-AM" w:eastAsia="ru-RU"/>
              </w:rPr>
              <w:t>Ընթացիկ հաշվետվությունները նաև ներկայացվում են աշխատանքների յուրաքանչյուր կատարողական արձանագրությունը Ծառայություն մատուցողի կողմից ստորագրելուց հետո հինգ աշխատանքային օրվա ընթացքում` Ծառայություննների հանձնման-ընդունման արձանագրությունների հետ մեկտեղ: Ավարտական հաշվետվությունը ներկայացվում է շինարարական աշխատանքների ավարտական կատարողական արձանագրությունը Ծառայություն մատուցողի կողմից ստորագրելուց հետո հինգ աշխատանքային օրվա ընթացքում:</w:t>
            </w:r>
          </w:p>
        </w:tc>
        <w:tc>
          <w:tcPr>
            <w:tcW w:w="181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2"/>
                <w:szCs w:val="12"/>
                <w:lang w:val="hy-AM" w:eastAsia="ru-RU"/>
              </w:rPr>
            </w:pPr>
            <w:r>
              <w:rPr>
                <w:rFonts w:ascii="GHEA Grapalat" w:eastAsia="Times New Roman" w:hAnsi="GHEA Grapalat"/>
                <w:sz w:val="12"/>
                <w:szCs w:val="12"/>
                <w:lang w:val="hy-AM" w:eastAsia="ru-RU"/>
              </w:rPr>
              <w:lastRenderedPageBreak/>
              <w:t>Տեխնիկական հսկողությունը պետք է իրականացվի պատվիրատուի կողմից տրամադրվող նախագծանախահաշվային փաստաթղթերի հիման վրա և պետք է ապահովի վերանորոգման աշխատանքների իրականացումը անհրաժեշտ որակով և ինժեներական նախագծերին, տեխնիկական առանձնահատկություններին և այլ պայմանագրային փաստաթղթերին համապատասխան:</w:t>
            </w:r>
          </w:p>
          <w:p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2"/>
                <w:szCs w:val="12"/>
                <w:lang w:val="hy-AM" w:eastAsia="ru-RU"/>
              </w:rPr>
            </w:pPr>
            <w:r>
              <w:rPr>
                <w:rFonts w:ascii="GHEA Grapalat" w:eastAsia="Times New Roman" w:hAnsi="GHEA Grapalat"/>
                <w:sz w:val="12"/>
                <w:szCs w:val="12"/>
                <w:lang w:val="hy-AM" w:eastAsia="ru-RU"/>
              </w:rPr>
              <w:t>2. Տեխնիկական հսկողության ծառայությունները պետք է իրականացվեն ՀՀ Քաղաքաշինության նախարարի 28.04.1998թ.-ի N44 հրամանով հաստատված շինարարության որակի տեխնիկական հսկողության իրականացման հրահանգով և Պատվիրատուի կողմից տրամադրվող պարտականությունների շրջանակներում:</w:t>
            </w:r>
          </w:p>
          <w:p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2"/>
                <w:szCs w:val="12"/>
                <w:lang w:val="hy-AM" w:eastAsia="ru-RU"/>
              </w:rPr>
            </w:pPr>
            <w:r>
              <w:rPr>
                <w:rFonts w:ascii="GHEA Grapalat" w:eastAsia="Times New Roman" w:hAnsi="GHEA Grapalat"/>
                <w:sz w:val="12"/>
                <w:szCs w:val="12"/>
                <w:lang w:val="hy-AM" w:eastAsia="ru-RU"/>
              </w:rPr>
              <w:t>3. Տեխնիկական հսկողություն իրականացնողի հիմնական պարտականություններն են՝</w:t>
            </w:r>
          </w:p>
          <w:p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2"/>
                <w:szCs w:val="12"/>
                <w:lang w:val="hy-AM" w:eastAsia="ru-RU"/>
              </w:rPr>
            </w:pPr>
            <w:r>
              <w:rPr>
                <w:rFonts w:ascii="GHEA Grapalat" w:eastAsia="Times New Roman" w:hAnsi="GHEA Grapalat"/>
                <w:sz w:val="12"/>
                <w:szCs w:val="12"/>
                <w:lang w:val="hy-AM" w:eastAsia="ru-RU"/>
              </w:rPr>
              <w:t>• շինարարության սկզբից մինչև ավարտը ընկած ժամանակահատվածում պարբերաբար լուսանկարահանել շինարարության օբյեկտի վիճակը,</w:t>
            </w:r>
          </w:p>
          <w:p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2"/>
                <w:szCs w:val="12"/>
                <w:lang w:val="hy-AM" w:eastAsia="ru-RU"/>
              </w:rPr>
            </w:pPr>
            <w:r>
              <w:rPr>
                <w:rFonts w:ascii="GHEA Grapalat" w:eastAsia="Times New Roman" w:hAnsi="GHEA Grapalat"/>
                <w:sz w:val="12"/>
                <w:szCs w:val="12"/>
                <w:lang w:val="hy-AM" w:eastAsia="ru-RU"/>
              </w:rPr>
              <w:t xml:space="preserve">• ապահովել կատարվող աշխատանքների </w:t>
            </w:r>
            <w:r>
              <w:rPr>
                <w:rFonts w:ascii="GHEA Grapalat" w:eastAsia="Times New Roman" w:hAnsi="GHEA Grapalat"/>
                <w:sz w:val="12"/>
                <w:szCs w:val="12"/>
                <w:lang w:val="hy-AM" w:eastAsia="ru-RU"/>
              </w:rPr>
              <w:lastRenderedPageBreak/>
              <w:t>համապատասխանությունը կապալի պայմանագրի պայմաններին, շինարարական նորմերին և կանոններին,</w:t>
            </w:r>
          </w:p>
          <w:p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2"/>
                <w:szCs w:val="12"/>
                <w:lang w:val="hy-AM" w:eastAsia="ru-RU"/>
              </w:rPr>
            </w:pPr>
            <w:r>
              <w:rPr>
                <w:rFonts w:ascii="GHEA Grapalat" w:eastAsia="Times New Roman" w:hAnsi="GHEA Grapalat"/>
                <w:sz w:val="12"/>
                <w:szCs w:val="12"/>
                <w:lang w:val="hy-AM" w:eastAsia="ru-RU"/>
              </w:rPr>
              <w:t>• Կապալառուի կողմից պայմանագրային պարտավորությունների կատարման շեղում հայտնաբերելուց անհապաղ տեղեկացնել Պատվիրատուին` կցելով համապատասխան հիմնավորումը,</w:t>
            </w:r>
          </w:p>
          <w:p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2"/>
                <w:szCs w:val="12"/>
                <w:lang w:val="hy-AM" w:eastAsia="ru-RU"/>
              </w:rPr>
            </w:pPr>
            <w:r>
              <w:rPr>
                <w:rFonts w:ascii="GHEA Grapalat" w:eastAsia="Times New Roman" w:hAnsi="GHEA Grapalat"/>
                <w:sz w:val="12"/>
                <w:szCs w:val="12"/>
                <w:lang w:val="hy-AM" w:eastAsia="ru-RU"/>
              </w:rPr>
              <w:t>• ստուգել և հաստատել աշխատանքային և կատարողական փաստաթղթերը՝ նախապատրաստված Կապալառուի կողմից,</w:t>
            </w:r>
          </w:p>
          <w:p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2"/>
                <w:szCs w:val="12"/>
                <w:lang w:val="hy-AM" w:eastAsia="ru-RU"/>
              </w:rPr>
            </w:pPr>
            <w:r>
              <w:rPr>
                <w:rFonts w:ascii="GHEA Grapalat" w:eastAsia="Times New Roman" w:hAnsi="GHEA Grapalat"/>
                <w:sz w:val="12"/>
                <w:szCs w:val="12"/>
                <w:lang w:val="hy-AM" w:eastAsia="ru-RU"/>
              </w:rPr>
              <w:t>• ստուգել և վերահսկել նյութերի որակը և շինարարական աշխատանքների ընթացքը, որպեսզի ապահովվի մասնագրերին և պայմանագրային մյուս փաստաթղթերին համապատասխանությունը: Արգելել կամ փոփոխել այն նյութերը, որոնք չեն համապատասխանում անհրաժեշտ պայմաններին,</w:t>
            </w:r>
          </w:p>
          <w:p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2"/>
                <w:szCs w:val="12"/>
                <w:lang w:val="hy-AM" w:eastAsia="ru-RU"/>
              </w:rPr>
            </w:pPr>
            <w:r>
              <w:rPr>
                <w:rFonts w:ascii="GHEA Grapalat" w:eastAsia="Times New Roman" w:hAnsi="GHEA Grapalat"/>
                <w:sz w:val="12"/>
                <w:szCs w:val="12"/>
                <w:lang w:val="hy-AM" w:eastAsia="ru-RU"/>
              </w:rPr>
              <w:t>• վերահսկել և գնահատել շինաշխատանքների գործընթացը, որպեսզի ապահովվի շինաշխատանքների ավարտը՝ համաձայն պայմանագրի մեջ նշված ժամանակացույցի,</w:t>
            </w:r>
          </w:p>
          <w:p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2"/>
                <w:szCs w:val="12"/>
                <w:lang w:val="hy-AM" w:eastAsia="ru-RU"/>
              </w:rPr>
            </w:pPr>
            <w:r>
              <w:rPr>
                <w:rFonts w:ascii="GHEA Grapalat" w:eastAsia="Times New Roman" w:hAnsi="GHEA Grapalat"/>
                <w:sz w:val="12"/>
                <w:szCs w:val="12"/>
                <w:lang w:val="hy-AM" w:eastAsia="ru-RU"/>
              </w:rPr>
              <w:t>• ստուգել բոլոր այն փորձարկումների արդյունքները, որոնք անհրաժեշտ են որակի ապահովման համար: Ստուգել բոլոր փաստաթղթերը (այդ թվում՝ բոլոր ծավալային չափերը և հաշվարկները), որոնք անհրաժեշտ են համապատասխան վճարումները իրականացնելու համար,</w:t>
            </w:r>
          </w:p>
          <w:p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2"/>
                <w:szCs w:val="12"/>
                <w:lang w:val="hy-AM" w:eastAsia="ru-RU"/>
              </w:rPr>
            </w:pPr>
            <w:r>
              <w:rPr>
                <w:rFonts w:ascii="GHEA Grapalat" w:eastAsia="Times New Roman" w:hAnsi="GHEA Grapalat"/>
                <w:sz w:val="12"/>
                <w:szCs w:val="12"/>
                <w:lang w:val="hy-AM" w:eastAsia="ru-RU"/>
              </w:rPr>
              <w:t xml:space="preserve"> • կատարել որակի և քանակի ամենօրյա հսկումը (համապատասխան նշում կատարելով մատյանում), այն աշխատանքների անհրաժեշտ փորձարկումները, որոնք կատարվում են կապալի պայմանագրի իրականացման շրջանակում,</w:t>
            </w:r>
          </w:p>
          <w:p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2"/>
                <w:szCs w:val="12"/>
                <w:lang w:val="hy-AM" w:eastAsia="ru-RU"/>
              </w:rPr>
            </w:pPr>
            <w:r>
              <w:rPr>
                <w:rFonts w:ascii="GHEA Grapalat" w:eastAsia="Times New Roman" w:hAnsi="GHEA Grapalat"/>
                <w:sz w:val="12"/>
                <w:szCs w:val="12"/>
                <w:lang w:val="hy-AM" w:eastAsia="ru-RU"/>
              </w:rPr>
              <w:t>•  կատարվող աշխատանքների ժամանակ առաջացող խնդիրների դեպքում առաջարկել այն գործողությունները, որոնք անհրաժեշտ կլինեն աշխատանքային ժամանակացույցը պահպանելու համար,</w:t>
            </w:r>
          </w:p>
          <w:p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2"/>
                <w:szCs w:val="12"/>
                <w:lang w:val="hy-AM" w:eastAsia="ru-RU"/>
              </w:rPr>
            </w:pPr>
            <w:r>
              <w:rPr>
                <w:rFonts w:ascii="GHEA Grapalat" w:eastAsia="Times New Roman" w:hAnsi="GHEA Grapalat"/>
                <w:sz w:val="12"/>
                <w:szCs w:val="12"/>
                <w:lang w:val="hy-AM" w:eastAsia="ru-RU"/>
              </w:rPr>
              <w:t>• հսկել բոլոր այն հարցերը, որոնք կապված են աշխատանքներն անվտանգ իրականացնելու հետ և հրահանգել Կապալառուին տեղադրել նշաններ, լուսավորության անվտանգության սարքերի և այլ համապատասխան միջոցառումների իրականացման համար,</w:t>
            </w:r>
          </w:p>
          <w:p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2"/>
                <w:szCs w:val="12"/>
                <w:lang w:val="hy-AM" w:eastAsia="ru-RU"/>
              </w:rPr>
            </w:pPr>
            <w:r>
              <w:rPr>
                <w:rFonts w:ascii="GHEA Grapalat" w:eastAsia="Times New Roman" w:hAnsi="GHEA Grapalat"/>
                <w:sz w:val="12"/>
                <w:szCs w:val="12"/>
                <w:lang w:val="hy-AM" w:eastAsia="ru-RU"/>
              </w:rPr>
              <w:t>• կատարել անհրաժեշտ օրական գրառումներ, որոնք անհրաժեշտ են պայմանագրի ընթացքի վերահսկման համար (ընդգրկելով կատարված աշխատանքների հավաստագրերը և այլ անհրաժեշտ փաստաթղթեր),</w:t>
            </w:r>
          </w:p>
          <w:p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2"/>
                <w:szCs w:val="12"/>
                <w:lang w:val="hy-AM" w:eastAsia="ru-RU"/>
              </w:rPr>
            </w:pPr>
            <w:r>
              <w:rPr>
                <w:rFonts w:ascii="GHEA Grapalat" w:eastAsia="Times New Roman" w:hAnsi="GHEA Grapalat"/>
                <w:sz w:val="12"/>
                <w:szCs w:val="12"/>
                <w:lang w:val="hy-AM" w:eastAsia="ru-RU"/>
              </w:rPr>
              <w:lastRenderedPageBreak/>
              <w:t>• կատարել աշխատանքների ծավալների չափագրումներ և մասնակցել կատարողական փաստաթղթերի կազմմանը և հաստատմանը,</w:t>
            </w:r>
          </w:p>
          <w:p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2"/>
                <w:szCs w:val="12"/>
                <w:lang w:val="hy-AM" w:eastAsia="ru-RU"/>
              </w:rPr>
            </w:pPr>
            <w:r>
              <w:rPr>
                <w:rFonts w:ascii="GHEA Grapalat" w:eastAsia="Times New Roman" w:hAnsi="GHEA Grapalat"/>
                <w:sz w:val="12"/>
                <w:szCs w:val="12"/>
                <w:lang w:val="hy-AM" w:eastAsia="ru-RU"/>
              </w:rPr>
              <w:t>• կատարվող աշխատանքների ավարտից հետո Պատվիրատուին ներկայացնել Հաշվետվություն կատարված աշխատանքների վերաբերյալ` կցելով լուսանկարները, անհրաժեշտ գծագրերը, ծածկված աշխատանքների ակտերը, փորձարկման ակտերը, սերտիֆիկատները,</w:t>
            </w:r>
          </w:p>
          <w:p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2"/>
                <w:szCs w:val="12"/>
                <w:lang w:val="hy-AM" w:eastAsia="ru-RU"/>
              </w:rPr>
            </w:pPr>
            <w:r>
              <w:rPr>
                <w:rFonts w:ascii="GHEA Grapalat" w:eastAsia="Times New Roman" w:hAnsi="GHEA Grapalat"/>
                <w:sz w:val="12"/>
                <w:szCs w:val="12"/>
                <w:lang w:val="hy-AM" w:eastAsia="ru-RU"/>
              </w:rPr>
              <w:t>• Պատվիրատուի ցուցումով չափագրել կատարման ենթակա աշխատանքները:</w:t>
            </w:r>
          </w:p>
          <w:p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2"/>
                <w:szCs w:val="12"/>
                <w:lang w:val="hy-AM" w:eastAsia="ru-RU"/>
              </w:rPr>
            </w:pPr>
            <w:r>
              <w:rPr>
                <w:rFonts w:ascii="GHEA Grapalat" w:eastAsia="Times New Roman" w:hAnsi="GHEA Grapalat"/>
                <w:sz w:val="12"/>
                <w:szCs w:val="12"/>
                <w:lang w:val="hy-AM" w:eastAsia="ru-RU"/>
              </w:rPr>
              <w:t>Հաշվետվության ներկայացման պահանջներ</w:t>
            </w:r>
          </w:p>
          <w:p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2"/>
                <w:szCs w:val="12"/>
                <w:lang w:val="hy-AM" w:eastAsia="ru-RU"/>
              </w:rPr>
            </w:pPr>
            <w:r>
              <w:rPr>
                <w:rFonts w:ascii="GHEA Grapalat" w:eastAsia="Times New Roman" w:hAnsi="GHEA Grapalat"/>
                <w:sz w:val="12"/>
                <w:szCs w:val="12"/>
                <w:lang w:val="hy-AM" w:eastAsia="ru-RU"/>
              </w:rPr>
              <w:t>Կատարողը պարտավոր է ներկայացնել Պատվիրատուին ծառայությունների վերաբերյալ ընթացիկ և ավարտական հաշվետվություններ, որոնք հանդիսանում են ծառայությունների հանձնման-ընդունման արձանագրությունները հիմնավորող փաստաթղթեր:</w:t>
            </w:r>
          </w:p>
          <w:p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2"/>
                <w:szCs w:val="12"/>
                <w:lang w:val="hy-AM" w:eastAsia="ru-RU"/>
              </w:rPr>
            </w:pPr>
            <w:r>
              <w:rPr>
                <w:rFonts w:ascii="GHEA Grapalat" w:eastAsia="Times New Roman" w:hAnsi="GHEA Grapalat"/>
                <w:sz w:val="12"/>
                <w:szCs w:val="12"/>
                <w:lang w:val="hy-AM" w:eastAsia="ru-RU"/>
              </w:rPr>
              <w:t>Ավարտական հաշվետվությունը պետք է ընդգրկի հետևյալ փաստաթղթերի պատճենները՝ ավարտական կատարողական փաստաթղթեր, ամփոփ նկարագրական տեղեկանք իրականացված  աշխատանքների ամբողջ ժամանակահատվածի համար, նախքան կատարվող աշխատանքների սկիզբը, ինչպես նաև ավարտված օբյեկտի լուսանկարներ:</w:t>
            </w:r>
          </w:p>
          <w:p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2"/>
                <w:szCs w:val="12"/>
                <w:lang w:val="hy-AM" w:eastAsia="ru-RU"/>
              </w:rPr>
            </w:pPr>
            <w:r>
              <w:rPr>
                <w:rFonts w:ascii="GHEA Grapalat" w:eastAsia="Times New Roman" w:hAnsi="GHEA Grapalat"/>
                <w:sz w:val="12"/>
                <w:szCs w:val="12"/>
                <w:lang w:val="hy-AM" w:eastAsia="ru-RU"/>
              </w:rPr>
              <w:t>Ընթացիկ հաշվետվությունները նաև ներկայացվում են աշխատանքների յուրաքանչյուր կատարողական արձանագրությունը Ծառայություն մատուցողի կողմից ստորագրելուց հետո հինգ աշխատանքային օրվա ընթացքում` Ծառայություննների հանձնման-ընդունման արձանագրությունների հետ մեկտեղ: Ավարտական հաշվետվությունը ներկայացվում է շինարարական աշխատանքների ավարտական կատարողական արձանագրությունը Ծառայություն մատուցողի կողմից ստորագրելուց հետո հինգ աշխատանքային օրվա ընթացքում:</w:t>
            </w:r>
          </w:p>
        </w:tc>
      </w:tr>
      <w:tr>
        <w:trPr>
          <w:trHeight w:val="169"/>
        </w:trPr>
        <w:tc>
          <w:tcPr>
            <w:tcW w:w="11212" w:type="dxa"/>
            <w:gridSpan w:val="34"/>
            <w:shd w:val="clear" w:color="auto" w:fill="99CCFF"/>
            <w:vAlign w:val="center"/>
          </w:tcPr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>
        <w:trPr>
          <w:trHeight w:val="790"/>
        </w:trPr>
        <w:tc>
          <w:tcPr>
            <w:tcW w:w="4364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Կիրառված գ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նման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ընթացակարգ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ը և դրա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ընտրության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հիմնավորումը</w:t>
            </w:r>
          </w:p>
          <w:p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Примененная процедура закупки и обоснование ее выбора</w:t>
            </w:r>
          </w:p>
        </w:tc>
        <w:tc>
          <w:tcPr>
            <w:tcW w:w="6848" w:type="dxa"/>
            <w:gridSpan w:val="21"/>
            <w:tcBorders>
              <w:bottom w:val="single" w:sz="8" w:space="0" w:color="auto"/>
            </w:tcBorders>
            <w:shd w:val="clear" w:color="auto" w:fill="auto"/>
            <w:vAlign w:val="center"/>
          </w:tcPr>
          <w:p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Էլեկտրոնային աճուրդի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CPV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կոդերում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առկա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չէր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։Գնումների մասին օրենքի 22-րդ հոդվածի համապատասխան։</w:t>
            </w:r>
          </w:p>
          <w:p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Отсутствует в кодах CPV электронного аукциона В соответствии со статьей 22 Закона о закупках.</w:t>
            </w:r>
          </w:p>
        </w:tc>
      </w:tr>
      <w:tr>
        <w:trPr>
          <w:trHeight w:val="439"/>
        </w:trPr>
        <w:tc>
          <w:tcPr>
            <w:tcW w:w="11212" w:type="dxa"/>
            <w:gridSpan w:val="34"/>
            <w:tcBorders>
              <w:bottom w:val="single" w:sz="8" w:space="0" w:color="auto"/>
            </w:tcBorders>
            <w:shd w:val="clear" w:color="auto" w:fill="99CCFF"/>
            <w:vAlign w:val="center"/>
          </w:tcPr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974" w:type="dxa"/>
            <w:gridSpan w:val="2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րավեր ուղարկելու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կամ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հրապարակելու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ամսաթիվը</w:t>
            </w:r>
          </w:p>
          <w:p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Дата направления или опубликования приглашения</w:t>
            </w:r>
          </w:p>
        </w:tc>
        <w:tc>
          <w:tcPr>
            <w:tcW w:w="4238" w:type="dxa"/>
            <w:gridSpan w:val="12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2022-04-25</w:t>
            </w:r>
          </w:p>
        </w:tc>
      </w:tr>
      <w:tr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</w:trPr>
        <w:tc>
          <w:tcPr>
            <w:tcW w:w="6251" w:type="dxa"/>
            <w:gridSpan w:val="20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lastRenderedPageBreak/>
              <w:t>Հ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րավերում</w:t>
            </w:r>
            <w:r>
              <w:rPr>
                <w:rFonts w:ascii="GHEA Grapalat" w:eastAsia="Times New Roman" w:hAnsi="GHEA Grapalat" w:cs="Times Armenian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կատարված</w:t>
            </w:r>
            <w:r>
              <w:rPr>
                <w:rFonts w:ascii="GHEA Grapalat" w:eastAsia="Times New Roman" w:hAnsi="GHEA Grapalat" w:cs="Times Armenian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փոփոխություններ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ի </w:t>
            </w:r>
            <w:proofErr w:type="spellStart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4"/>
            </w:r>
          </w:p>
          <w:p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Дата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изменений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внесенных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в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приглашение</w:t>
            </w: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4238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92"/>
        </w:trPr>
        <w:tc>
          <w:tcPr>
            <w:tcW w:w="6251" w:type="dxa"/>
            <w:gridSpan w:val="20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4238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251" w:type="dxa"/>
            <w:gridSpan w:val="20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Հրավերի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վերաբերյալ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պարզաբանումների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  <w:p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Дата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разъяснений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относительно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приглашения</w:t>
            </w:r>
            <w:proofErr w:type="spellEnd"/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982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Հարցարդման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ստացման</w:t>
            </w:r>
            <w:proofErr w:type="spellEnd"/>
          </w:p>
          <w:p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Получения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запроса</w:t>
            </w:r>
            <w:proofErr w:type="spellEnd"/>
          </w:p>
        </w:tc>
        <w:tc>
          <w:tcPr>
            <w:tcW w:w="2256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Պարզաբանման</w:t>
            </w:r>
            <w:proofErr w:type="spellEnd"/>
          </w:p>
          <w:p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Разъяснения</w:t>
            </w:r>
            <w:proofErr w:type="spellEnd"/>
          </w:p>
        </w:tc>
      </w:tr>
      <w:tr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251" w:type="dxa"/>
            <w:gridSpan w:val="20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eastAsia="ru-RU"/>
              </w:rPr>
            </w:pP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982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56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251" w:type="dxa"/>
            <w:gridSpan w:val="20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1982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56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>
        <w:trPr>
          <w:trHeight w:val="54"/>
        </w:trPr>
        <w:tc>
          <w:tcPr>
            <w:tcW w:w="11212" w:type="dxa"/>
            <w:gridSpan w:val="34"/>
            <w:shd w:val="clear" w:color="auto" w:fill="99CCFF"/>
            <w:vAlign w:val="center"/>
          </w:tcPr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>
        <w:trPr>
          <w:trHeight w:val="605"/>
        </w:trPr>
        <w:tc>
          <w:tcPr>
            <w:tcW w:w="1385" w:type="dxa"/>
            <w:gridSpan w:val="3"/>
            <w:vMerge w:val="restart"/>
            <w:shd w:val="clear" w:color="auto" w:fill="auto"/>
            <w:vAlign w:val="center"/>
          </w:tcPr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Հ/Հ</w:t>
            </w:r>
          </w:p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П/Н</w:t>
            </w:r>
          </w:p>
        </w:tc>
        <w:tc>
          <w:tcPr>
            <w:tcW w:w="2135" w:type="dxa"/>
            <w:gridSpan w:val="6"/>
            <w:vMerge w:val="restart"/>
            <w:shd w:val="clear" w:color="auto" w:fill="auto"/>
            <w:vAlign w:val="center"/>
          </w:tcPr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անվանումը</w:t>
            </w:r>
            <w:proofErr w:type="spellEnd"/>
          </w:p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Наименования</w:t>
            </w:r>
            <w:proofErr w:type="spellEnd"/>
            <w:r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участников</w:t>
            </w:r>
            <w:proofErr w:type="spellEnd"/>
          </w:p>
        </w:tc>
        <w:tc>
          <w:tcPr>
            <w:tcW w:w="7692" w:type="dxa"/>
            <w:gridSpan w:val="25"/>
            <w:shd w:val="clear" w:color="auto" w:fill="auto"/>
            <w:vAlign w:val="center"/>
          </w:tcPr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Յուրաքանչյուր</w:t>
            </w:r>
            <w:proofErr w:type="spellEnd"/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մասնակցի</w:t>
            </w:r>
            <w:proofErr w:type="spellEnd"/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հայտով</w:t>
            </w:r>
            <w:proofErr w:type="spellEnd"/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, </w:t>
            </w:r>
            <w:proofErr w:type="spellStart"/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ներառյալ</w:t>
            </w:r>
            <w:proofErr w:type="spellEnd"/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միաժամանակյա</w:t>
            </w:r>
            <w:proofErr w:type="spellEnd"/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բանակցությունների</w:t>
            </w:r>
            <w:proofErr w:type="spellEnd"/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կազմակերպման</w:t>
            </w:r>
            <w:proofErr w:type="spellEnd"/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արդյունքում</w:t>
            </w:r>
            <w:proofErr w:type="spellEnd"/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ներկայացված</w:t>
            </w:r>
            <w:proofErr w:type="spellEnd"/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գինը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 /ՀՀ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դրամ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5"/>
            </w:r>
          </w:p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/>
                <w:sz w:val="14"/>
                <w:szCs w:val="14"/>
                <w:lang w:val="ru-RU" w:eastAsia="ru-RU"/>
              </w:rPr>
              <w:t>Цена, представленная по заявке каждого участника, включая цену, представленную в результате организации одновременных переговоров /  Драмов РА</w:t>
            </w:r>
          </w:p>
        </w:tc>
      </w:tr>
      <w:tr>
        <w:trPr>
          <w:trHeight w:val="365"/>
        </w:trPr>
        <w:tc>
          <w:tcPr>
            <w:tcW w:w="1385" w:type="dxa"/>
            <w:gridSpan w:val="3"/>
            <w:vMerge/>
            <w:shd w:val="clear" w:color="auto" w:fill="auto"/>
            <w:vAlign w:val="center"/>
          </w:tcPr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</w:p>
        </w:tc>
        <w:tc>
          <w:tcPr>
            <w:tcW w:w="2135" w:type="dxa"/>
            <w:gridSpan w:val="6"/>
            <w:vMerge/>
            <w:shd w:val="clear" w:color="auto" w:fill="auto"/>
            <w:vAlign w:val="center"/>
          </w:tcPr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</w:p>
        </w:tc>
        <w:tc>
          <w:tcPr>
            <w:tcW w:w="3250" w:type="dxa"/>
            <w:gridSpan w:val="12"/>
            <w:shd w:val="clear" w:color="auto" w:fill="auto"/>
            <w:vAlign w:val="center"/>
          </w:tcPr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Գինն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առանց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ԱԱՀ</w:t>
            </w:r>
          </w:p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Цена без НДС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ԱԱՀ</w:t>
            </w:r>
          </w:p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НДС</w:t>
            </w:r>
          </w:p>
        </w:tc>
        <w:tc>
          <w:tcPr>
            <w:tcW w:w="2282" w:type="dxa"/>
            <w:gridSpan w:val="5"/>
            <w:shd w:val="clear" w:color="auto" w:fill="auto"/>
            <w:vAlign w:val="center"/>
          </w:tcPr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Ընդհանուր</w:t>
            </w:r>
            <w:proofErr w:type="spellEnd"/>
          </w:p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Всего</w:t>
            </w:r>
            <w:proofErr w:type="spellEnd"/>
          </w:p>
        </w:tc>
      </w:tr>
      <w:tr>
        <w:trPr>
          <w:trHeight w:val="83"/>
        </w:trPr>
        <w:tc>
          <w:tcPr>
            <w:tcW w:w="11212" w:type="dxa"/>
            <w:gridSpan w:val="34"/>
            <w:shd w:val="clear" w:color="auto" w:fill="auto"/>
            <w:vAlign w:val="center"/>
          </w:tcPr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color w:val="365F91"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1</w:t>
            </w:r>
          </w:p>
        </w:tc>
      </w:tr>
      <w:tr>
        <w:trPr>
          <w:trHeight w:val="83"/>
        </w:trPr>
        <w:tc>
          <w:tcPr>
            <w:tcW w:w="1385" w:type="dxa"/>
            <w:gridSpan w:val="3"/>
            <w:shd w:val="clear" w:color="auto" w:fill="auto"/>
            <w:vAlign w:val="center"/>
          </w:tcPr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135" w:type="dxa"/>
            <w:gridSpan w:val="6"/>
            <w:shd w:val="clear" w:color="auto" w:fill="auto"/>
            <w:vAlign w:val="center"/>
          </w:tcPr>
          <w:p>
            <w:pPr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ԳՐԻՏԻԳ ՍՊԸ</w:t>
            </w:r>
          </w:p>
        </w:tc>
        <w:tc>
          <w:tcPr>
            <w:tcW w:w="3250" w:type="dxa"/>
            <w:gridSpan w:val="12"/>
            <w:shd w:val="clear" w:color="auto" w:fill="auto"/>
            <w:vAlign w:val="center"/>
          </w:tcPr>
          <w:p>
            <w:pPr>
              <w:jc w:val="center"/>
              <w:rPr>
                <w:rFonts w:ascii="GHEA Grapalat" w:hAnsi="GHEA Grapalat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GHEA Grapalat" w:hAnsi="GHEA Grapalat" w:cs="Calibri"/>
                <w:b/>
                <w:bCs/>
                <w:color w:val="000000"/>
                <w:sz w:val="20"/>
                <w:szCs w:val="20"/>
              </w:rPr>
              <w:t>690000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6"/>
                <w:lang w:eastAsia="ru-RU"/>
              </w:rPr>
            </w:pPr>
            <w:r>
              <w:rPr>
                <w:rFonts w:ascii="GHEA Grapalat" w:eastAsia="Times New Roman" w:hAnsi="GHEA Grapalat"/>
                <w:sz w:val="16"/>
                <w:szCs w:val="16"/>
                <w:lang w:eastAsia="ru-RU"/>
              </w:rPr>
              <w:t>0%</w:t>
            </w:r>
          </w:p>
        </w:tc>
        <w:tc>
          <w:tcPr>
            <w:tcW w:w="2282" w:type="dxa"/>
            <w:gridSpan w:val="5"/>
            <w:shd w:val="clear" w:color="auto" w:fill="auto"/>
            <w:vAlign w:val="center"/>
          </w:tcPr>
          <w:p>
            <w:pPr>
              <w:jc w:val="center"/>
              <w:rPr>
                <w:rFonts w:ascii="GHEA Grapalat" w:hAnsi="GHEA Grapalat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GHEA Grapalat" w:hAnsi="GHEA Grapalat" w:cs="Calibri"/>
                <w:b/>
                <w:bCs/>
                <w:color w:val="000000"/>
                <w:sz w:val="20"/>
                <w:szCs w:val="20"/>
              </w:rPr>
              <w:t>690000</w:t>
            </w:r>
          </w:p>
        </w:tc>
      </w:tr>
      <w:tr>
        <w:trPr>
          <w:trHeight w:val="83"/>
        </w:trPr>
        <w:tc>
          <w:tcPr>
            <w:tcW w:w="1385" w:type="dxa"/>
            <w:gridSpan w:val="3"/>
            <w:shd w:val="clear" w:color="auto" w:fill="auto"/>
            <w:vAlign w:val="center"/>
          </w:tcPr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  <w:t>2</w:t>
            </w:r>
          </w:p>
        </w:tc>
        <w:tc>
          <w:tcPr>
            <w:tcW w:w="2135" w:type="dxa"/>
            <w:gridSpan w:val="6"/>
            <w:shd w:val="clear" w:color="auto" w:fill="auto"/>
            <w:vAlign w:val="center"/>
          </w:tcPr>
          <w:p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Ա/Ձ Մկրտիչ Սուրենի Մելքոնյան</w:t>
            </w:r>
          </w:p>
        </w:tc>
        <w:tc>
          <w:tcPr>
            <w:tcW w:w="3250" w:type="dxa"/>
            <w:gridSpan w:val="12"/>
            <w:shd w:val="clear" w:color="auto" w:fill="auto"/>
            <w:vAlign w:val="center"/>
          </w:tcPr>
          <w:p>
            <w:pPr>
              <w:jc w:val="center"/>
              <w:rPr>
                <w:rFonts w:ascii="GHEA Grapalat" w:hAnsi="GHEA Grapalat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GHEA Grapalat" w:hAnsi="GHEA Grapalat" w:cs="Calibri"/>
                <w:b/>
                <w:bCs/>
                <w:color w:val="000000"/>
                <w:sz w:val="20"/>
                <w:szCs w:val="20"/>
              </w:rPr>
              <w:t>467000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6"/>
                <w:lang w:eastAsia="ru-RU"/>
              </w:rPr>
            </w:pPr>
            <w:r>
              <w:rPr>
                <w:rFonts w:ascii="GHEA Grapalat" w:eastAsia="Times New Roman" w:hAnsi="GHEA Grapalat"/>
                <w:sz w:val="16"/>
                <w:szCs w:val="16"/>
                <w:lang w:eastAsia="ru-RU"/>
              </w:rPr>
              <w:t>0%</w:t>
            </w:r>
          </w:p>
        </w:tc>
        <w:tc>
          <w:tcPr>
            <w:tcW w:w="2282" w:type="dxa"/>
            <w:gridSpan w:val="5"/>
            <w:shd w:val="clear" w:color="auto" w:fill="auto"/>
            <w:vAlign w:val="center"/>
          </w:tcPr>
          <w:p>
            <w:pPr>
              <w:jc w:val="center"/>
              <w:rPr>
                <w:rFonts w:ascii="GHEA Grapalat" w:hAnsi="GHEA Grapalat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GHEA Grapalat" w:hAnsi="GHEA Grapalat" w:cs="Calibri"/>
                <w:b/>
                <w:bCs/>
                <w:color w:val="000000"/>
                <w:sz w:val="20"/>
                <w:szCs w:val="20"/>
              </w:rPr>
              <w:t>467000</w:t>
            </w:r>
          </w:p>
        </w:tc>
      </w:tr>
      <w:tr>
        <w:trPr>
          <w:trHeight w:val="288"/>
        </w:trPr>
        <w:tc>
          <w:tcPr>
            <w:tcW w:w="11212" w:type="dxa"/>
            <w:gridSpan w:val="34"/>
            <w:shd w:val="clear" w:color="auto" w:fill="99CCFF"/>
            <w:vAlign w:val="center"/>
          </w:tcPr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>
        <w:tc>
          <w:tcPr>
            <w:tcW w:w="11212" w:type="dxa"/>
            <w:gridSpan w:val="34"/>
            <w:tcBorders>
              <w:bottom w:val="single" w:sz="8" w:space="0" w:color="auto"/>
            </w:tcBorders>
            <w:shd w:val="clear" w:color="auto" w:fill="auto"/>
            <w:vAlign w:val="center"/>
          </w:tcPr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վյալներ մերժված հայտերի մասին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 Данные об отклоненных заявках</w:t>
            </w:r>
          </w:p>
        </w:tc>
      </w:tr>
      <w:tr>
        <w:tc>
          <w:tcPr>
            <w:tcW w:w="814" w:type="dxa"/>
            <w:vMerge w:val="restart"/>
            <w:shd w:val="clear" w:color="auto" w:fill="auto"/>
            <w:vAlign w:val="center"/>
          </w:tcPr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proofErr w:type="spellStart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-</w:t>
            </w:r>
            <w:proofErr w:type="spellStart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բաժնի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համարը</w:t>
            </w:r>
            <w:proofErr w:type="spellEnd"/>
          </w:p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Номер лота</w:t>
            </w:r>
          </w:p>
        </w:tc>
        <w:tc>
          <w:tcPr>
            <w:tcW w:w="1441" w:type="dxa"/>
            <w:gridSpan w:val="4"/>
            <w:vMerge w:val="restart"/>
            <w:shd w:val="clear" w:color="auto" w:fill="auto"/>
            <w:vAlign w:val="center"/>
          </w:tcPr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անվանումը</w:t>
            </w:r>
            <w:proofErr w:type="spellEnd"/>
          </w:p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Наименование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участника</w:t>
            </w:r>
            <w:proofErr w:type="spellEnd"/>
          </w:p>
        </w:tc>
        <w:tc>
          <w:tcPr>
            <w:tcW w:w="8957" w:type="dxa"/>
            <w:gridSpan w:val="29"/>
            <w:tcBorders>
              <w:bottom w:val="single" w:sz="8" w:space="0" w:color="auto"/>
            </w:tcBorders>
            <w:shd w:val="clear" w:color="auto" w:fill="auto"/>
            <w:vAlign w:val="center"/>
          </w:tcPr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Գնահատման արդյունքները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(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բավարար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կամ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անբավարար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)</w:t>
            </w:r>
          </w:p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Результаты оценки (удовлетворительно или неудовлетворительно)</w:t>
            </w:r>
          </w:p>
        </w:tc>
      </w:tr>
      <w:tr>
        <w:tc>
          <w:tcPr>
            <w:tcW w:w="814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</w:p>
        </w:tc>
        <w:tc>
          <w:tcPr>
            <w:tcW w:w="1441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</w:p>
        </w:tc>
        <w:tc>
          <w:tcPr>
            <w:tcW w:w="1647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</w:pPr>
            <w:proofErr w:type="spellStart"/>
            <w:r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Հրավերով</w:t>
            </w:r>
            <w:proofErr w:type="spellEnd"/>
            <w:r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պահանջվող</w:t>
            </w:r>
            <w:proofErr w:type="spellEnd"/>
            <w:r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ru-RU" w:eastAsia="ru-RU"/>
              </w:rPr>
              <w:t xml:space="preserve"> </w:t>
            </w:r>
            <w:r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փաստաթղթերի առկայությունը</w:t>
            </w:r>
          </w:p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Наличие требуемых по приглашению документов</w:t>
            </w:r>
          </w:p>
        </w:tc>
        <w:tc>
          <w:tcPr>
            <w:tcW w:w="2268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Հայտով ներկայացված</w:t>
            </w:r>
            <w:r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ru-RU" w:eastAsia="ru-RU"/>
              </w:rPr>
              <w:t xml:space="preserve"> </w:t>
            </w:r>
            <w:r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փաստաթղթերի համապատասխանությունը հրավերով սահմանված պահանջներին</w:t>
            </w:r>
          </w:p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Соответствие представленных по заявке документов требованиям установленным приглашением</w:t>
            </w:r>
          </w:p>
        </w:tc>
        <w:tc>
          <w:tcPr>
            <w:tcW w:w="2552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Առաջարկած գնման առարկայի տեխնիկական բնութագրերի համապատասխանությունը հրավերով սահմանված պահանջներին</w:t>
            </w:r>
          </w:p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highlight w:val="yellow"/>
                <w:lang w:val="hy-AM" w:eastAsia="ru-RU"/>
              </w:rPr>
            </w:pPr>
            <w:r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Соответствие технических характеристик предлагаемого предмета закупки требованиям, установленным приглашением</w:t>
            </w:r>
          </w:p>
        </w:tc>
        <w:tc>
          <w:tcPr>
            <w:tcW w:w="249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Գնային առաջարկ</w:t>
            </w:r>
          </w:p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Ценовое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предложение</w:t>
            </w:r>
            <w:proofErr w:type="spellEnd"/>
          </w:p>
        </w:tc>
      </w:tr>
      <w:tr>
        <w:trPr>
          <w:trHeight w:val="60"/>
        </w:trPr>
        <w:tc>
          <w:tcPr>
            <w:tcW w:w="814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144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ԳՐԻՏԻԳ ՍՊԸ</w:t>
            </w:r>
          </w:p>
        </w:tc>
        <w:tc>
          <w:tcPr>
            <w:tcW w:w="1647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Առկա</w:t>
            </w:r>
          </w:p>
        </w:tc>
        <w:tc>
          <w:tcPr>
            <w:tcW w:w="2268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Համապատասխան</w:t>
            </w:r>
          </w:p>
        </w:tc>
        <w:tc>
          <w:tcPr>
            <w:tcW w:w="2552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Համապատասխան</w:t>
            </w:r>
          </w:p>
        </w:tc>
        <w:tc>
          <w:tcPr>
            <w:tcW w:w="249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GHEA Grapalat" w:hAnsi="GHEA Grapalat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GHEA Grapalat" w:hAnsi="GHEA Grapalat" w:cs="Calibri"/>
                <w:b/>
                <w:bCs/>
                <w:color w:val="000000"/>
                <w:sz w:val="20"/>
                <w:szCs w:val="20"/>
              </w:rPr>
              <w:t>690000</w:t>
            </w:r>
          </w:p>
        </w:tc>
      </w:tr>
      <w:tr>
        <w:trPr>
          <w:trHeight w:val="115"/>
        </w:trPr>
        <w:tc>
          <w:tcPr>
            <w:tcW w:w="814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2</w:t>
            </w:r>
          </w:p>
        </w:tc>
        <w:tc>
          <w:tcPr>
            <w:tcW w:w="144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Ա/Ձ Մկրտիչ Սուրենի Մելքոնյան</w:t>
            </w:r>
          </w:p>
        </w:tc>
        <w:tc>
          <w:tcPr>
            <w:tcW w:w="1647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Առկա</w:t>
            </w:r>
          </w:p>
        </w:tc>
        <w:tc>
          <w:tcPr>
            <w:tcW w:w="2268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Համապատասխան</w:t>
            </w:r>
          </w:p>
        </w:tc>
        <w:tc>
          <w:tcPr>
            <w:tcW w:w="2552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Համապատասխան</w:t>
            </w:r>
          </w:p>
        </w:tc>
        <w:tc>
          <w:tcPr>
            <w:tcW w:w="249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GHEA Grapalat" w:hAnsi="GHEA Grapalat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GHEA Grapalat" w:hAnsi="GHEA Grapalat" w:cs="Calibri"/>
                <w:b/>
                <w:bCs/>
                <w:color w:val="000000"/>
                <w:sz w:val="20"/>
                <w:szCs w:val="20"/>
              </w:rPr>
              <w:t>467000</w:t>
            </w:r>
          </w:p>
        </w:tc>
      </w:tr>
      <w:tr>
        <w:trPr>
          <w:trHeight w:val="331"/>
        </w:trPr>
        <w:tc>
          <w:tcPr>
            <w:tcW w:w="2255" w:type="dxa"/>
            <w:gridSpan w:val="5"/>
            <w:shd w:val="clear" w:color="auto" w:fill="auto"/>
            <w:vAlign w:val="center"/>
          </w:tcPr>
          <w:p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Այլ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տեղեկություններ</w:t>
            </w:r>
            <w:proofErr w:type="spellEnd"/>
          </w:p>
          <w:p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Иные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сведения</w:t>
            </w:r>
            <w:proofErr w:type="spellEnd"/>
          </w:p>
        </w:tc>
        <w:tc>
          <w:tcPr>
            <w:tcW w:w="8957" w:type="dxa"/>
            <w:gridSpan w:val="29"/>
            <w:shd w:val="clear" w:color="auto" w:fill="auto"/>
            <w:vAlign w:val="center"/>
          </w:tcPr>
          <w:p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sz w:val="14"/>
                <w:szCs w:val="14"/>
                <w:lang w:val="ru-RU" w:eastAsia="ru-RU"/>
              </w:rPr>
            </w:pPr>
            <w:proofErr w:type="spellStart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Ծանոթություն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` </w:t>
            </w:r>
            <w:proofErr w:type="spellStart"/>
            <w:r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Հայտերի</w:t>
            </w:r>
            <w:proofErr w:type="spellEnd"/>
            <w:r>
              <w:rPr>
                <w:rFonts w:ascii="GHEA Grapalat" w:eastAsia="Times New Roman" w:hAnsi="GHEA Grapalat" w:cs="Sylfaen"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մերժման</w:t>
            </w:r>
            <w:proofErr w:type="spellEnd"/>
            <w:r>
              <w:rPr>
                <w:rFonts w:ascii="GHEA Grapalat" w:eastAsia="Times New Roman" w:hAnsi="GHEA Grapalat" w:cs="Sylfaen"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այլ</w:t>
            </w:r>
            <w:proofErr w:type="spellEnd"/>
            <w:r>
              <w:rPr>
                <w:rFonts w:ascii="GHEA Grapalat" w:eastAsia="Times New Roman" w:hAnsi="GHEA Grapalat" w:cs="Sylfaen"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հիմքեր</w:t>
            </w:r>
            <w:proofErr w:type="spellEnd"/>
          </w:p>
          <w:p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Примечание: Иные основания для отклонения заявок.</w:t>
            </w:r>
          </w:p>
        </w:tc>
      </w:tr>
      <w:tr>
        <w:trPr>
          <w:trHeight w:val="289"/>
        </w:trPr>
        <w:tc>
          <w:tcPr>
            <w:tcW w:w="11212" w:type="dxa"/>
            <w:gridSpan w:val="34"/>
            <w:tcBorders>
              <w:bottom w:val="single" w:sz="8" w:space="0" w:color="auto"/>
            </w:tcBorders>
            <w:shd w:val="clear" w:color="auto" w:fill="99CCFF"/>
            <w:vAlign w:val="center"/>
          </w:tcPr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</w:p>
        </w:tc>
      </w:tr>
      <w:tr>
        <w:trPr>
          <w:trHeight w:val="346"/>
        </w:trPr>
        <w:tc>
          <w:tcPr>
            <w:tcW w:w="4975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proofErr w:type="spellStart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որոշման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</w:p>
          <w:p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Дата определения отобранного участника</w:t>
            </w:r>
          </w:p>
        </w:tc>
        <w:tc>
          <w:tcPr>
            <w:tcW w:w="6237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2022-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05-10</w:t>
            </w:r>
          </w:p>
        </w:tc>
      </w:tr>
      <w:tr>
        <w:trPr>
          <w:trHeight w:val="92"/>
        </w:trPr>
        <w:tc>
          <w:tcPr>
            <w:tcW w:w="4975" w:type="dxa"/>
            <w:gridSpan w:val="15"/>
            <w:vMerge w:val="restart"/>
            <w:shd w:val="clear" w:color="auto" w:fill="auto"/>
            <w:vAlign w:val="center"/>
          </w:tcPr>
          <w:p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Անգործության ժամկետ</w:t>
            </w:r>
          </w:p>
          <w:p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Период ожидания</w:t>
            </w:r>
          </w:p>
        </w:tc>
        <w:tc>
          <w:tcPr>
            <w:tcW w:w="3111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proofErr w:type="spellStart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Անգործության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ժամկետի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սկիզբ</w:t>
            </w:r>
            <w:proofErr w:type="spellEnd"/>
          </w:p>
          <w:p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Начало периода ожидания</w:t>
            </w:r>
          </w:p>
        </w:tc>
        <w:tc>
          <w:tcPr>
            <w:tcW w:w="312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proofErr w:type="spellStart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Անգործության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ժամկետի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ավարտ</w:t>
            </w:r>
            <w:proofErr w:type="spellEnd"/>
          </w:p>
          <w:p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Окончание периода ожидания</w:t>
            </w:r>
          </w:p>
        </w:tc>
      </w:tr>
      <w:tr>
        <w:trPr>
          <w:trHeight w:val="92"/>
        </w:trPr>
        <w:tc>
          <w:tcPr>
            <w:tcW w:w="4975" w:type="dxa"/>
            <w:gridSpan w:val="15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3111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2022-05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-10</w:t>
            </w:r>
          </w:p>
        </w:tc>
        <w:tc>
          <w:tcPr>
            <w:tcW w:w="312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2022-05-15</w:t>
            </w:r>
          </w:p>
        </w:tc>
      </w:tr>
      <w:tr>
        <w:trPr>
          <w:trHeight w:val="344"/>
        </w:trPr>
        <w:tc>
          <w:tcPr>
            <w:tcW w:w="11212" w:type="dxa"/>
            <w:gridSpan w:val="34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Ընտրված մասնակցին պայմանագիր կնքելու առաջարկի ծանուցման ամսաթիվը        </w:t>
            </w:r>
          </w:p>
          <w:p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Дата извещения отобранного участника о предложении относительно заключения договора                                         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2022-05-15</w:t>
            </w:r>
          </w:p>
        </w:tc>
      </w:tr>
      <w:tr>
        <w:trPr>
          <w:trHeight w:val="344"/>
        </w:trPr>
        <w:tc>
          <w:tcPr>
            <w:tcW w:w="4975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proofErr w:type="spellStart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կողմից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ստորագրված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պայմանագիրը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պատվիրատուի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մոտ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մուտքագրվելու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  <w:p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Дата поступления у заказчика договора, подписанного  отобранным участником</w:t>
            </w:r>
          </w:p>
        </w:tc>
        <w:tc>
          <w:tcPr>
            <w:tcW w:w="6237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2022-05-18</w:t>
            </w:r>
          </w:p>
        </w:tc>
      </w:tr>
      <w:tr>
        <w:trPr>
          <w:trHeight w:val="344"/>
        </w:trPr>
        <w:tc>
          <w:tcPr>
            <w:tcW w:w="4975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Պատվիրատուի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կողմից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պայմանագրի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ստորագրման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  <w:p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Дата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подписания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договора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заказчиком</w:t>
            </w:r>
            <w:proofErr w:type="spellEnd"/>
          </w:p>
        </w:tc>
        <w:tc>
          <w:tcPr>
            <w:tcW w:w="6237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2022-05-18</w:t>
            </w:r>
          </w:p>
        </w:tc>
      </w:tr>
      <w:tr>
        <w:trPr>
          <w:trHeight w:val="288"/>
        </w:trPr>
        <w:tc>
          <w:tcPr>
            <w:tcW w:w="11212" w:type="dxa"/>
            <w:gridSpan w:val="34"/>
            <w:shd w:val="clear" w:color="auto" w:fill="99CCFF"/>
            <w:vAlign w:val="center"/>
          </w:tcPr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>
        <w:tc>
          <w:tcPr>
            <w:tcW w:w="814" w:type="dxa"/>
            <w:vMerge w:val="restart"/>
            <w:shd w:val="clear" w:color="auto" w:fill="auto"/>
            <w:vAlign w:val="center"/>
          </w:tcPr>
          <w:p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Չափա-բաժնի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համարը</w:t>
            </w:r>
            <w:proofErr w:type="spellEnd"/>
          </w:p>
          <w:p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Номер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lastRenderedPageBreak/>
              <w:t>лота</w:t>
            </w:r>
            <w:proofErr w:type="spellEnd"/>
          </w:p>
        </w:tc>
        <w:tc>
          <w:tcPr>
            <w:tcW w:w="1412" w:type="dxa"/>
            <w:gridSpan w:val="3"/>
            <w:vMerge w:val="restart"/>
            <w:shd w:val="clear" w:color="auto" w:fill="auto"/>
            <w:vAlign w:val="center"/>
          </w:tcPr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lastRenderedPageBreak/>
              <w:t>Ընտրված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մասնակիցը</w:t>
            </w:r>
            <w:proofErr w:type="spellEnd"/>
          </w:p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Отобранный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участник</w:t>
            </w:r>
            <w:proofErr w:type="spellEnd"/>
          </w:p>
        </w:tc>
        <w:tc>
          <w:tcPr>
            <w:tcW w:w="8986" w:type="dxa"/>
            <w:gridSpan w:val="30"/>
            <w:shd w:val="clear" w:color="auto" w:fill="auto"/>
            <w:vAlign w:val="center"/>
          </w:tcPr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այմանագ</w:t>
            </w:r>
            <w:proofErr w:type="spellStart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րի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</w:p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Договор</w:t>
            </w:r>
            <w:proofErr w:type="spellEnd"/>
          </w:p>
        </w:tc>
      </w:tr>
      <w:tr>
        <w:trPr>
          <w:trHeight w:val="237"/>
        </w:trPr>
        <w:tc>
          <w:tcPr>
            <w:tcW w:w="814" w:type="dxa"/>
            <w:vMerge/>
            <w:shd w:val="clear" w:color="auto" w:fill="auto"/>
            <w:vAlign w:val="center"/>
          </w:tcPr>
          <w:p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12" w:type="dxa"/>
            <w:gridSpan w:val="3"/>
            <w:vMerge/>
            <w:shd w:val="clear" w:color="auto" w:fill="auto"/>
            <w:vAlign w:val="center"/>
          </w:tcPr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089" w:type="dxa"/>
            <w:gridSpan w:val="8"/>
            <w:vMerge w:val="restart"/>
            <w:shd w:val="clear" w:color="auto" w:fill="auto"/>
            <w:vAlign w:val="center"/>
          </w:tcPr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Պայմանագրի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համարը</w:t>
            </w:r>
            <w:proofErr w:type="spellEnd"/>
          </w:p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Номер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договора</w:t>
            </w:r>
            <w:proofErr w:type="spellEnd"/>
          </w:p>
        </w:tc>
        <w:tc>
          <w:tcPr>
            <w:tcW w:w="1523" w:type="dxa"/>
            <w:gridSpan w:val="5"/>
            <w:vMerge w:val="restart"/>
            <w:shd w:val="clear" w:color="auto" w:fill="auto"/>
            <w:vAlign w:val="center"/>
          </w:tcPr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Կնքման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lastRenderedPageBreak/>
              <w:t>Дата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заключения</w:t>
            </w:r>
            <w:proofErr w:type="spellEnd"/>
          </w:p>
        </w:tc>
        <w:tc>
          <w:tcPr>
            <w:tcW w:w="1136" w:type="dxa"/>
            <w:gridSpan w:val="5"/>
            <w:vMerge w:val="restart"/>
            <w:shd w:val="clear" w:color="auto" w:fill="auto"/>
            <w:vAlign w:val="center"/>
          </w:tcPr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lastRenderedPageBreak/>
              <w:t>Կատարման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վերջնա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-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lastRenderedPageBreak/>
              <w:t>ժամկետը</w:t>
            </w:r>
            <w:proofErr w:type="spellEnd"/>
          </w:p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Крайний срок исполнения</w:t>
            </w:r>
          </w:p>
        </w:tc>
        <w:tc>
          <w:tcPr>
            <w:tcW w:w="1073" w:type="dxa"/>
            <w:gridSpan w:val="4"/>
            <w:vMerge w:val="restart"/>
            <w:shd w:val="clear" w:color="auto" w:fill="auto"/>
            <w:vAlign w:val="center"/>
          </w:tcPr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lastRenderedPageBreak/>
              <w:t>Կանխա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-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վճարի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lastRenderedPageBreak/>
              <w:t>չափը</w:t>
            </w:r>
            <w:proofErr w:type="spellEnd"/>
          </w:p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Размер предоплаты</w:t>
            </w:r>
          </w:p>
        </w:tc>
        <w:tc>
          <w:tcPr>
            <w:tcW w:w="3165" w:type="dxa"/>
            <w:gridSpan w:val="8"/>
            <w:shd w:val="clear" w:color="auto" w:fill="auto"/>
            <w:vAlign w:val="center"/>
          </w:tcPr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lastRenderedPageBreak/>
              <w:t>Գինը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 </w:t>
            </w:r>
          </w:p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Цена</w:t>
            </w:r>
            <w:proofErr w:type="spellEnd"/>
          </w:p>
        </w:tc>
      </w:tr>
      <w:tr>
        <w:trPr>
          <w:trHeight w:val="238"/>
        </w:trPr>
        <w:tc>
          <w:tcPr>
            <w:tcW w:w="814" w:type="dxa"/>
            <w:vMerge/>
            <w:shd w:val="clear" w:color="auto" w:fill="auto"/>
            <w:vAlign w:val="center"/>
          </w:tcPr>
          <w:p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12" w:type="dxa"/>
            <w:gridSpan w:val="3"/>
            <w:vMerge/>
            <w:shd w:val="clear" w:color="auto" w:fill="auto"/>
            <w:vAlign w:val="center"/>
          </w:tcPr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089" w:type="dxa"/>
            <w:gridSpan w:val="8"/>
            <w:vMerge/>
            <w:shd w:val="clear" w:color="auto" w:fill="auto"/>
            <w:vAlign w:val="center"/>
          </w:tcPr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23" w:type="dxa"/>
            <w:gridSpan w:val="5"/>
            <w:vMerge/>
            <w:shd w:val="clear" w:color="auto" w:fill="auto"/>
            <w:vAlign w:val="center"/>
          </w:tcPr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6" w:type="dxa"/>
            <w:gridSpan w:val="5"/>
            <w:vMerge/>
            <w:shd w:val="clear" w:color="auto" w:fill="auto"/>
            <w:vAlign w:val="center"/>
          </w:tcPr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073" w:type="dxa"/>
            <w:gridSpan w:val="4"/>
            <w:vMerge/>
            <w:shd w:val="clear" w:color="auto" w:fill="auto"/>
            <w:vAlign w:val="center"/>
          </w:tcPr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165" w:type="dxa"/>
            <w:gridSpan w:val="8"/>
            <w:shd w:val="clear" w:color="auto" w:fill="auto"/>
            <w:vAlign w:val="center"/>
          </w:tcPr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ՀՀ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դրամ</w:t>
            </w:r>
            <w:proofErr w:type="spellEnd"/>
          </w:p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Драмов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РА</w:t>
            </w:r>
          </w:p>
        </w:tc>
      </w:tr>
      <w:tr>
        <w:trPr>
          <w:trHeight w:val="263"/>
        </w:trPr>
        <w:tc>
          <w:tcPr>
            <w:tcW w:w="814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12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089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23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6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073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proofErr w:type="spellStart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Առկա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ֆինանսական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միջոցներով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</w:p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По имеющимся финансовым средствам</w:t>
            </w:r>
          </w:p>
        </w:tc>
        <w:tc>
          <w:tcPr>
            <w:tcW w:w="203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Ընդհանուր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6"/>
            </w:r>
          </w:p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Общая</w:t>
            </w:r>
            <w:proofErr w:type="spellEnd"/>
          </w:p>
        </w:tc>
      </w:tr>
      <w:tr>
        <w:trPr>
          <w:trHeight w:val="146"/>
        </w:trPr>
        <w:tc>
          <w:tcPr>
            <w:tcW w:w="814" w:type="dxa"/>
            <w:shd w:val="clear" w:color="auto" w:fill="auto"/>
            <w:vAlign w:val="center"/>
          </w:tcPr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412" w:type="dxa"/>
            <w:gridSpan w:val="3"/>
            <w:shd w:val="clear" w:color="auto" w:fill="auto"/>
            <w:vAlign w:val="center"/>
          </w:tcPr>
          <w:p>
            <w:pPr>
              <w:ind w:left="-16" w:firstLine="16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Ա/Ձ Մկրտիչ Սուրենի Մելքոնյան</w:t>
            </w:r>
          </w:p>
        </w:tc>
        <w:tc>
          <w:tcPr>
            <w:tcW w:w="2089" w:type="dxa"/>
            <w:gridSpan w:val="8"/>
            <w:shd w:val="clear" w:color="auto" w:fill="auto"/>
            <w:vAlign w:val="center"/>
          </w:tcPr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  <w:t>ԱՍՀՆ-ԳՀԾՁԲ-22/21</w:t>
            </w:r>
          </w:p>
        </w:tc>
        <w:tc>
          <w:tcPr>
            <w:tcW w:w="1523" w:type="dxa"/>
            <w:gridSpan w:val="5"/>
            <w:shd w:val="clear" w:color="auto" w:fill="auto"/>
            <w:vAlign w:val="center"/>
          </w:tcPr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18,05</w:t>
            </w:r>
            <w:r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.2022թ</w:t>
            </w:r>
          </w:p>
        </w:tc>
        <w:tc>
          <w:tcPr>
            <w:tcW w:w="1136" w:type="dxa"/>
            <w:gridSpan w:val="5"/>
            <w:shd w:val="clear" w:color="auto" w:fill="auto"/>
            <w:vAlign w:val="center"/>
          </w:tcPr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sz w:val="14"/>
                <w:szCs w:val="14"/>
                <w:lang w:val="ru-RU" w:eastAsia="ru-RU"/>
              </w:rPr>
              <w:t>30.</w:t>
            </w:r>
            <w:r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12</w:t>
            </w:r>
            <w:r>
              <w:rPr>
                <w:rFonts w:ascii="GHEA Grapalat" w:eastAsia="Times New Roman" w:hAnsi="GHEA Grapalat" w:cs="Sylfaen"/>
                <w:sz w:val="14"/>
                <w:szCs w:val="14"/>
                <w:lang w:val="ru-RU" w:eastAsia="ru-RU"/>
              </w:rPr>
              <w:t>.2022</w:t>
            </w:r>
            <w:r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թ</w:t>
            </w:r>
          </w:p>
        </w:tc>
        <w:tc>
          <w:tcPr>
            <w:tcW w:w="1073" w:type="dxa"/>
            <w:gridSpan w:val="4"/>
            <w:shd w:val="clear" w:color="auto" w:fill="auto"/>
            <w:vAlign w:val="center"/>
          </w:tcPr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-</w:t>
            </w:r>
          </w:p>
        </w:tc>
        <w:tc>
          <w:tcPr>
            <w:tcW w:w="1130" w:type="dxa"/>
            <w:gridSpan w:val="6"/>
            <w:shd w:val="clear" w:color="auto" w:fill="auto"/>
            <w:vAlign w:val="center"/>
          </w:tcPr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</w:pPr>
          </w:p>
        </w:tc>
        <w:tc>
          <w:tcPr>
            <w:tcW w:w="2035" w:type="dxa"/>
            <w:gridSpan w:val="2"/>
            <w:shd w:val="clear" w:color="auto" w:fill="auto"/>
            <w:vAlign w:val="center"/>
          </w:tcPr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467000</w:t>
            </w:r>
          </w:p>
        </w:tc>
      </w:tr>
      <w:tr>
        <w:trPr>
          <w:trHeight w:val="150"/>
        </w:trPr>
        <w:tc>
          <w:tcPr>
            <w:tcW w:w="11212" w:type="dxa"/>
            <w:gridSpan w:val="34"/>
            <w:shd w:val="clear" w:color="auto" w:fill="auto"/>
            <w:vAlign w:val="center"/>
          </w:tcPr>
          <w:p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(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մասնակիցների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)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անվանումը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և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հասցեն</w:t>
            </w:r>
            <w:proofErr w:type="spellEnd"/>
          </w:p>
          <w:p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Наименование и адрес отобранного участника (отобранных участников)</w:t>
            </w:r>
          </w:p>
        </w:tc>
      </w:tr>
      <w:tr>
        <w:trPr>
          <w:trHeight w:val="125"/>
        </w:trPr>
        <w:tc>
          <w:tcPr>
            <w:tcW w:w="814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Չափա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-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բաժնի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համարը</w:t>
            </w:r>
            <w:proofErr w:type="spellEnd"/>
          </w:p>
          <w:p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Номер лота</w:t>
            </w:r>
          </w:p>
        </w:tc>
        <w:tc>
          <w:tcPr>
            <w:tcW w:w="141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մասնակիցը</w:t>
            </w:r>
            <w:proofErr w:type="spellEnd"/>
          </w:p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Отобранный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участник</w:t>
            </w:r>
            <w:proofErr w:type="spellEnd"/>
          </w:p>
        </w:tc>
        <w:tc>
          <w:tcPr>
            <w:tcW w:w="2919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հեռ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</w:t>
            </w:r>
          </w:p>
          <w:p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Адрес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тел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</w:t>
            </w:r>
          </w:p>
        </w:tc>
        <w:tc>
          <w:tcPr>
            <w:tcW w:w="201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proofErr w:type="gram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.-</w:t>
            </w:r>
            <w:proofErr w:type="spellStart"/>
            <w:proofErr w:type="gram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փոստ</w:t>
            </w:r>
            <w:proofErr w:type="spellEnd"/>
          </w:p>
          <w:p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Эл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.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почта</w:t>
            </w:r>
            <w:proofErr w:type="spellEnd"/>
          </w:p>
        </w:tc>
        <w:tc>
          <w:tcPr>
            <w:tcW w:w="1981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Բանկային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հաշիվը</w:t>
            </w:r>
            <w:proofErr w:type="spellEnd"/>
          </w:p>
          <w:p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Банковский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счет</w:t>
            </w:r>
            <w:proofErr w:type="spellEnd"/>
          </w:p>
        </w:tc>
        <w:tc>
          <w:tcPr>
            <w:tcW w:w="207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ՀՎՀՀ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val="hy-AM" w:eastAsia="ru-RU"/>
              </w:rPr>
              <w:footnoteReference w:id="7"/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/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Անձնագրի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համարը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և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սերիան</w:t>
            </w:r>
            <w:proofErr w:type="spellEnd"/>
          </w:p>
          <w:p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УНН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 /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Номер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и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серия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паспорта</w:t>
            </w:r>
          </w:p>
        </w:tc>
      </w:tr>
      <w:tr>
        <w:trPr>
          <w:trHeight w:val="155"/>
        </w:trPr>
        <w:tc>
          <w:tcPr>
            <w:tcW w:w="814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41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>
            <w:pPr>
              <w:ind w:left="-16" w:firstLine="16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Ա/Ձ Մկրտիչ Սուրենի Մելքոնյան</w:t>
            </w:r>
          </w:p>
        </w:tc>
        <w:tc>
          <w:tcPr>
            <w:tcW w:w="2919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  <w:t>ՀՀ, Արմավիրի մարզ գ</w:t>
            </w:r>
            <w:r>
              <w:rPr>
                <w:rFonts w:ascii="Cambria Math" w:eastAsia="Times New Roman" w:hAnsi="Cambria Math" w:cs="Cambria Math"/>
                <w:sz w:val="14"/>
                <w:szCs w:val="14"/>
                <w:lang w:val="hy-AM" w:eastAsia="ru-RU"/>
              </w:rPr>
              <w:t>․</w:t>
            </w:r>
            <w:r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GHEA Grapalat"/>
                <w:sz w:val="14"/>
                <w:szCs w:val="14"/>
                <w:lang w:val="hy-AM" w:eastAsia="ru-RU"/>
              </w:rPr>
              <w:t>Փարաքար</w:t>
            </w:r>
            <w:r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  <w:t>,</w:t>
            </w:r>
          </w:p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  <w:t>Նարեկացի 3-րդ փող</w:t>
            </w:r>
            <w:r>
              <w:rPr>
                <w:rFonts w:ascii="Cambria Math" w:eastAsia="Times New Roman" w:hAnsi="Cambria Math" w:cs="Cambria Math"/>
                <w:sz w:val="14"/>
                <w:szCs w:val="14"/>
                <w:lang w:val="hy-AM" w:eastAsia="ru-RU"/>
              </w:rPr>
              <w:t>․</w:t>
            </w:r>
            <w:r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GHEA Grapalat"/>
                <w:sz w:val="14"/>
                <w:szCs w:val="14"/>
                <w:lang w:val="hy-AM" w:eastAsia="ru-RU"/>
              </w:rPr>
              <w:t>տուն</w:t>
            </w:r>
            <w:r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  <w:t xml:space="preserve"> 18</w:t>
            </w:r>
          </w:p>
        </w:tc>
        <w:tc>
          <w:tcPr>
            <w:tcW w:w="201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</w:p>
        </w:tc>
        <w:tc>
          <w:tcPr>
            <w:tcW w:w="1981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  <w:t>16046083951900</w:t>
            </w:r>
          </w:p>
        </w:tc>
        <w:tc>
          <w:tcPr>
            <w:tcW w:w="207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  <w:t>52173748</w:t>
            </w:r>
          </w:p>
        </w:tc>
      </w:tr>
      <w:tr>
        <w:trPr>
          <w:trHeight w:val="288"/>
        </w:trPr>
        <w:tc>
          <w:tcPr>
            <w:tcW w:w="11212" w:type="dxa"/>
            <w:gridSpan w:val="34"/>
            <w:shd w:val="clear" w:color="auto" w:fill="99CCFF"/>
            <w:vAlign w:val="center"/>
          </w:tcPr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</w:trPr>
        <w:tc>
          <w:tcPr>
            <w:tcW w:w="2545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Այլ տեղեկություններ</w:t>
            </w:r>
          </w:p>
          <w:p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Иные сведения</w:t>
            </w:r>
          </w:p>
        </w:tc>
        <w:tc>
          <w:tcPr>
            <w:tcW w:w="8667" w:type="dxa"/>
            <w:gridSpan w:val="2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>
            <w:pPr>
              <w:spacing w:before="0" w:after="0"/>
              <w:ind w:left="0" w:firstLine="0"/>
              <w:rPr>
                <w:rFonts w:ascii="GHEA Grapalat" w:eastAsia="Times New Roman" w:hAnsi="GHEA Grapalat" w:cs="Arial Armenian"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Ծանոթություն` </w:t>
            </w:r>
            <w:r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  <w:t>Որևէ չափաբաժնի չկայացման դեպքում պատվիրատուն պարտավոր է լրացնել տեղեկություններ չկայացման վերաբերյալ</w:t>
            </w:r>
            <w:r>
              <w:rPr>
                <w:rFonts w:ascii="GHEA Grapalat" w:eastAsia="Times New Roman" w:hAnsi="GHEA Grapalat" w:cs="Arial Armenian"/>
                <w:sz w:val="14"/>
                <w:szCs w:val="14"/>
                <w:lang w:val="hy-AM" w:eastAsia="ru-RU"/>
              </w:rPr>
              <w:t xml:space="preserve">։ </w:t>
            </w:r>
          </w:p>
          <w:p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Примечание: В случае, если какой-либо из лотов не состоялся, заказчик обязан заполнить сведения об этом.</w:t>
            </w:r>
          </w:p>
        </w:tc>
      </w:tr>
      <w:tr>
        <w:trPr>
          <w:trHeight w:val="288"/>
        </w:trPr>
        <w:tc>
          <w:tcPr>
            <w:tcW w:w="11212" w:type="dxa"/>
            <w:gridSpan w:val="34"/>
            <w:shd w:val="clear" w:color="auto" w:fill="99CCFF"/>
            <w:vAlign w:val="center"/>
          </w:tcPr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</w:p>
        </w:tc>
      </w:tr>
      <w:tr>
        <w:trPr>
          <w:trHeight w:val="288"/>
        </w:trPr>
        <w:tc>
          <w:tcPr>
            <w:tcW w:w="11212" w:type="dxa"/>
            <w:gridSpan w:val="34"/>
            <w:shd w:val="clear" w:color="auto" w:fill="auto"/>
            <w:vAlign w:val="center"/>
          </w:tcPr>
          <w:p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trike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lang w:eastAsia="ru-RU"/>
              </w:rPr>
              <w:t>Ինչպես</w:t>
            </w:r>
            <w:proofErr w:type="spellEnd"/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lang w:eastAsia="ru-RU"/>
              </w:rPr>
              <w:t>սույն</w:t>
            </w:r>
            <w:proofErr w:type="spellEnd"/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lang w:eastAsia="ru-RU"/>
              </w:rPr>
              <w:t>ընթացակարգի</w:t>
            </w:r>
            <w:proofErr w:type="spellEnd"/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lang w:eastAsia="ru-RU"/>
              </w:rPr>
              <w:t>տվյալ</w:t>
            </w:r>
            <w:proofErr w:type="spellEnd"/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lang w:eastAsia="ru-RU"/>
              </w:rPr>
              <w:t>չափաբաժնի</w:t>
            </w:r>
            <w:proofErr w:type="spellEnd"/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lang w:eastAsia="ru-RU"/>
              </w:rPr>
              <w:t>մասով</w:t>
            </w:r>
            <w:proofErr w:type="spellEnd"/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lang w:eastAsia="ru-RU"/>
              </w:rPr>
              <w:t>հայտ</w:t>
            </w:r>
            <w:proofErr w:type="spellEnd"/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lang w:eastAsia="ru-RU"/>
              </w:rPr>
              <w:t>ներկայացրած</w:t>
            </w:r>
            <w:proofErr w:type="spellEnd"/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lang w:eastAsia="ru-RU"/>
              </w:rPr>
              <w:t>մասնակիցները</w:t>
            </w:r>
            <w:proofErr w:type="spellEnd"/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lang w:eastAsia="ru-RU"/>
              </w:rPr>
              <w:t xml:space="preserve">, </w:t>
            </w:r>
            <w:proofErr w:type="spellStart"/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lang w:eastAsia="ru-RU"/>
              </w:rPr>
              <w:t>այնպես</w:t>
            </w:r>
            <w:proofErr w:type="spellEnd"/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lang w:eastAsia="ru-RU"/>
              </w:rPr>
              <w:t>էլ</w:t>
            </w:r>
            <w:proofErr w:type="spellEnd"/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lang w:eastAsia="ru-RU"/>
              </w:rPr>
              <w:t>Հայաստանի</w:t>
            </w:r>
            <w:proofErr w:type="spellEnd"/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lang w:eastAsia="ru-RU"/>
              </w:rPr>
              <w:t>Հանրապետությունում</w:t>
            </w:r>
            <w:proofErr w:type="spellEnd"/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lang w:eastAsia="ru-RU"/>
              </w:rPr>
              <w:t>պետական</w:t>
            </w:r>
            <w:proofErr w:type="spellEnd"/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lang w:eastAsia="ru-RU"/>
              </w:rPr>
              <w:t>գրանցում</w:t>
            </w:r>
            <w:proofErr w:type="spellEnd"/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lang w:eastAsia="ru-RU"/>
              </w:rPr>
              <w:t>ստացած</w:t>
            </w:r>
            <w:proofErr w:type="spellEnd"/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lang w:eastAsia="ru-RU"/>
              </w:rPr>
              <w:t>հասարակական</w:t>
            </w:r>
            <w:proofErr w:type="spellEnd"/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lang w:eastAsia="ru-RU"/>
              </w:rPr>
              <w:t>կազմակերպությունները</w:t>
            </w:r>
            <w:proofErr w:type="spellEnd"/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lang w:eastAsia="ru-RU"/>
              </w:rPr>
              <w:t xml:space="preserve"> և </w:t>
            </w:r>
            <w:proofErr w:type="spellStart"/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lang w:eastAsia="ru-RU"/>
              </w:rPr>
              <w:t>լրատվական</w:t>
            </w:r>
            <w:proofErr w:type="spellEnd"/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lang w:eastAsia="ru-RU"/>
              </w:rPr>
              <w:t>գործունեություն</w:t>
            </w:r>
            <w:proofErr w:type="spellEnd"/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lang w:eastAsia="ru-RU"/>
              </w:rPr>
              <w:t>իրականացնող</w:t>
            </w:r>
            <w:proofErr w:type="spellEnd"/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lang w:eastAsia="ru-RU"/>
              </w:rPr>
              <w:t>անձինք</w:t>
            </w:r>
            <w:proofErr w:type="spellEnd"/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lang w:eastAsia="ru-RU"/>
              </w:rPr>
              <w:t xml:space="preserve">, </w:t>
            </w:r>
            <w:proofErr w:type="spellStart"/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lang w:eastAsia="ru-RU"/>
              </w:rPr>
              <w:t>կարող</w:t>
            </w:r>
            <w:proofErr w:type="spellEnd"/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lang w:eastAsia="ru-RU"/>
              </w:rPr>
              <w:t>են</w:t>
            </w:r>
            <w:proofErr w:type="spellEnd"/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lang w:eastAsia="ru-RU"/>
              </w:rPr>
              <w:t>ընթացակարգը</w:t>
            </w:r>
            <w:proofErr w:type="spellEnd"/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lang w:eastAsia="ru-RU"/>
              </w:rPr>
              <w:t>կազմակերպած</w:t>
            </w:r>
            <w:proofErr w:type="spellEnd"/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lang w:eastAsia="ru-RU"/>
              </w:rPr>
              <w:t>պատվիրատուին</w:t>
            </w:r>
            <w:proofErr w:type="spellEnd"/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lang w:eastAsia="ru-RU"/>
              </w:rPr>
              <w:t>ներկայացնել</w:t>
            </w:r>
            <w:proofErr w:type="spellEnd"/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lang w:eastAsia="ru-RU"/>
              </w:rPr>
              <w:t xml:space="preserve"> </w:t>
            </w:r>
            <w:proofErr w:type="spellStart"/>
            <w:proofErr w:type="gramStart"/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lang w:eastAsia="ru-RU"/>
              </w:rPr>
              <w:t>կնքված</w:t>
            </w:r>
            <w:proofErr w:type="spellEnd"/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lang w:eastAsia="ru-RU"/>
              </w:rPr>
              <w:t xml:space="preserve">  </w:t>
            </w:r>
            <w:proofErr w:type="spellStart"/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lang w:eastAsia="ru-RU"/>
              </w:rPr>
              <w:t>պայմանագրի</w:t>
            </w:r>
            <w:proofErr w:type="spellEnd"/>
            <w:proofErr w:type="gramEnd"/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lang w:eastAsia="ru-RU"/>
              </w:rPr>
              <w:t>տվյալ</w:t>
            </w:r>
            <w:proofErr w:type="spellEnd"/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lang w:eastAsia="ru-RU"/>
              </w:rPr>
              <w:t>չափաբաժնի</w:t>
            </w:r>
            <w:proofErr w:type="spellEnd"/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lang w:eastAsia="ru-RU"/>
              </w:rPr>
              <w:t>արդյունքի</w:t>
            </w:r>
            <w:proofErr w:type="spellEnd"/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lang w:eastAsia="ru-RU"/>
              </w:rPr>
              <w:t>ընդունման</w:t>
            </w:r>
            <w:proofErr w:type="spellEnd"/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lang w:eastAsia="ru-RU"/>
              </w:rPr>
              <w:t>գործընթացին</w:t>
            </w:r>
            <w:proofErr w:type="spellEnd"/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lang w:eastAsia="ru-RU"/>
              </w:rPr>
              <w:t>պատասխանատու</w:t>
            </w:r>
            <w:proofErr w:type="spellEnd"/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lang w:eastAsia="ru-RU"/>
              </w:rPr>
              <w:t>ստորաբաժանման</w:t>
            </w:r>
            <w:proofErr w:type="spellEnd"/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lang w:eastAsia="ru-RU"/>
              </w:rPr>
              <w:t>հետ</w:t>
            </w:r>
            <w:proofErr w:type="spellEnd"/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lang w:eastAsia="ru-RU"/>
              </w:rPr>
              <w:t>համատեղ</w:t>
            </w:r>
            <w:proofErr w:type="spellEnd"/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lang w:eastAsia="ru-RU"/>
              </w:rPr>
              <w:t>մասնակցելու</w:t>
            </w:r>
            <w:proofErr w:type="spellEnd"/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lang w:eastAsia="ru-RU"/>
              </w:rPr>
              <w:t>գրավոր</w:t>
            </w:r>
            <w:proofErr w:type="spellEnd"/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lang w:eastAsia="ru-RU"/>
              </w:rPr>
              <w:t>պահանջ</w:t>
            </w:r>
            <w:proofErr w:type="spellEnd"/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lang w:eastAsia="ru-RU"/>
              </w:rPr>
              <w:t xml:space="preserve">՝ </w:t>
            </w:r>
            <w:proofErr w:type="spellStart"/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lang w:eastAsia="ru-RU"/>
              </w:rPr>
              <w:t>սույն</w:t>
            </w:r>
            <w:proofErr w:type="spellEnd"/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lang w:eastAsia="ru-RU"/>
              </w:rPr>
              <w:t>հայտարարությունը</w:t>
            </w:r>
            <w:proofErr w:type="spellEnd"/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lang w:eastAsia="ru-RU"/>
              </w:rPr>
              <w:t>հրապարակվելուց</w:t>
            </w:r>
            <w:proofErr w:type="spellEnd"/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lang w:eastAsia="ru-RU"/>
              </w:rPr>
              <w:t>հետո</w:t>
            </w:r>
            <w:proofErr w:type="spellEnd"/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lang w:eastAsia="ru-RU"/>
              </w:rPr>
              <w:t xml:space="preserve"> ------ </w:t>
            </w:r>
            <w:proofErr w:type="spellStart"/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lang w:eastAsia="ru-RU"/>
              </w:rPr>
              <w:t>օրացուցային</w:t>
            </w:r>
            <w:proofErr w:type="spellEnd"/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lang w:eastAsia="ru-RU"/>
              </w:rPr>
              <w:t>օրվա</w:t>
            </w:r>
            <w:proofErr w:type="spellEnd"/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lang w:eastAsia="ru-RU"/>
              </w:rPr>
              <w:t>ընթացքում</w:t>
            </w:r>
            <w:proofErr w:type="spellEnd"/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lang w:eastAsia="ru-RU"/>
              </w:rPr>
              <w:t>:</w:t>
            </w:r>
          </w:p>
          <w:p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Գրավոր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proofErr w:type="gram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պահանջին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կից</w:t>
            </w:r>
            <w:proofErr w:type="spellEnd"/>
            <w:proofErr w:type="gram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ներկայացվում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է՝</w:t>
            </w:r>
          </w:p>
          <w:p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1)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ֆիզիկական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անձին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տրամադրված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լիազորագրի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բնօրինակը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: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որում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լիազորված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՝ </w:t>
            </w:r>
          </w:p>
          <w:p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ա.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ֆիզիկական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անձանց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քանակը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չի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կարող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գերազանցել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երկուսը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</w:t>
            </w:r>
          </w:p>
          <w:p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բ.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ֆիզիկական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անձը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անձամբ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պետք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է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կատարի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գործողությունները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որոնց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լիազորված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է.</w:t>
            </w:r>
          </w:p>
          <w:p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2)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ինչպես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գործընթացին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մասնակցելու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պահանջ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ներկայացրած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այնպես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proofErr w:type="gram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լիազորված</w:t>
            </w:r>
            <w:proofErr w:type="spellEnd"/>
            <w:proofErr w:type="gram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ֆիզիկական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անձանց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կողմից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ստորագրված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բնօրինակ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հայտարարություններ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՝ «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Գնումների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մասին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» ՀՀ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օրենքի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5.1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հոդվածի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2-րդ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մասով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նախատեսված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շահերի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բախման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բացակայության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մասին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</w:t>
            </w:r>
          </w:p>
          <w:p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3)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էլեկտրոնային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փոստի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հասցեները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և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հեռախոսահամարները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որոնց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միջոցով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պատվիրատուն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կարող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է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կապ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հաստատել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պահանջը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ներկայացրած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անձի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և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վերջինիս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կողմից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լիազորված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ֆիզիկական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անձի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հետ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</w:t>
            </w:r>
          </w:p>
          <w:p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4)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Հայաստանի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Հանրապետությունում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պետական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գրանցում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ստացած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հասարակական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կազմակերպությունների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և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լրատվական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գործունեություն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իրականացնող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անձանց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դեպքում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՝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նաև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պետական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գրանցման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վկայականի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պատճենը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:</w:t>
            </w:r>
          </w:p>
          <w:p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trike/>
                <w:sz w:val="14"/>
                <w:szCs w:val="14"/>
                <w:u w:val="single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u w:val="single"/>
                <w:lang w:eastAsia="ru-RU"/>
              </w:rPr>
              <w:t>Պատվիրատուի</w:t>
            </w:r>
            <w:proofErr w:type="spellEnd"/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u w:val="single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u w:val="single"/>
                <w:lang w:eastAsia="ru-RU"/>
              </w:rPr>
              <w:t>պատասխանատու</w:t>
            </w:r>
            <w:proofErr w:type="spellEnd"/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u w:val="single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u w:val="single"/>
                <w:lang w:eastAsia="ru-RU"/>
              </w:rPr>
              <w:t>ստորաբաժանման</w:t>
            </w:r>
            <w:proofErr w:type="spellEnd"/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u w:val="single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u w:val="single"/>
                <w:lang w:eastAsia="ru-RU"/>
              </w:rPr>
              <w:t>ղեկավարի</w:t>
            </w:r>
            <w:proofErr w:type="spellEnd"/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u w:val="single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u w:val="single"/>
                <w:lang w:eastAsia="ru-RU"/>
              </w:rPr>
              <w:t>էլեկտրոնային</w:t>
            </w:r>
            <w:proofErr w:type="spellEnd"/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u w:val="single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u w:val="single"/>
                <w:lang w:eastAsia="ru-RU"/>
              </w:rPr>
              <w:t>փոստի</w:t>
            </w:r>
            <w:proofErr w:type="spellEnd"/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u w:val="single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u w:val="single"/>
                <w:lang w:eastAsia="ru-RU"/>
              </w:rPr>
              <w:t>պաշտոնական</w:t>
            </w:r>
            <w:proofErr w:type="spellEnd"/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u w:val="single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u w:val="single"/>
                <w:lang w:eastAsia="ru-RU"/>
              </w:rPr>
              <w:t>հասցեն</w:t>
            </w:r>
            <w:proofErr w:type="spellEnd"/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u w:val="single"/>
                <w:lang w:eastAsia="ru-RU"/>
              </w:rPr>
              <w:t xml:space="preserve"> է  ---------------------------:</w:t>
            </w:r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u w:val="single"/>
                <w:vertAlign w:val="superscript"/>
                <w:lang w:eastAsia="ru-RU"/>
              </w:rPr>
              <w:footnoteReference w:id="8"/>
            </w:r>
          </w:p>
          <w:p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Как участники, подавшие заявку по данному лоту настоящей процедуры, так и общественные организации, получившие государственную регистрацию в Республике Армения, и лица, осуществляющие информационную деятельность, могут представить организатору процедуры письменное требование о совместном участии с ответственным подразделением  в процессе принятия результата данного лота заключенного договора, в течение ----------  календарных</w:t>
            </w:r>
            <w:r>
              <w:rPr>
                <w:rFonts w:ascii="GHEA Grapalat" w:eastAsia="Times New Roman" w:hAnsi="GHEA Grapalat"/>
                <w:b/>
                <w:strike/>
                <w:sz w:val="14"/>
                <w:szCs w:val="14"/>
                <w:u w:val="single"/>
                <w:lang w:val="ru-RU"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дней после опубликования настоящего объявления.</w:t>
            </w:r>
          </w:p>
          <w:p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К письменному требованию прилагается:</w:t>
            </w:r>
          </w:p>
          <w:p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1) оригинал доверенности, выданный физическому лицу. При этом </w:t>
            </w:r>
          </w:p>
          <w:p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а. количество уполномоченных физических лиц не может превысить двух,</w:t>
            </w:r>
          </w:p>
          <w:p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б. уполномоченное физическое лицо должно лично выполнять действия, на которые уполномочено;</w:t>
            </w:r>
          </w:p>
          <w:p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2) оригиналы подписанных объявлений  лиц представивших требование об участии в процессе, а также  уполномоченных  физических лиц об отсутствии конфликта интересов, предусмотренных частью 2 статьи 5.1 Закона РА «О закупках»;</w:t>
            </w:r>
          </w:p>
          <w:p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3) адреса электронной почты и телефонные номера, посредством которых заказчик может связаться с лицом, представившим требование  и уполномоченным им физическим лицом;</w:t>
            </w:r>
          </w:p>
          <w:p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4) копия свидетельства о государственной регистрации- в случае общественных организаций и лиц, осуществляющих информационную деятельность, получивших государственную регистрацию в Республике Армения;</w:t>
            </w:r>
          </w:p>
          <w:p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trike/>
                <w:sz w:val="14"/>
                <w:szCs w:val="14"/>
                <w:u w:val="single"/>
                <w:lang w:val="ru-RU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Официальный адрес электронной почты руководителя ответственного подразделения заказчика---------------------------.8</w:t>
            </w:r>
          </w:p>
        </w:tc>
      </w:tr>
      <w:tr>
        <w:trPr>
          <w:trHeight w:val="288"/>
        </w:trPr>
        <w:tc>
          <w:tcPr>
            <w:tcW w:w="11212" w:type="dxa"/>
            <w:gridSpan w:val="34"/>
            <w:shd w:val="clear" w:color="auto" w:fill="99CCFF"/>
            <w:vAlign w:val="center"/>
          </w:tcPr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>
        <w:trPr>
          <w:trHeight w:val="475"/>
        </w:trPr>
        <w:tc>
          <w:tcPr>
            <w:tcW w:w="2545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Մասնակիցների ներգրավման նպատակով &lt;Գնումների մասին&gt; ՀՀ օրենքի համաձայն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lastRenderedPageBreak/>
              <w:t xml:space="preserve">իրականացված հրապարակումների մասին տեղեկությունները </w:t>
            </w:r>
          </w:p>
          <w:p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>Сведения о публикациях, осуществленных согласно Закону Республики Армения "О закупках" с целью привлечения участников</w:t>
            </w:r>
          </w:p>
        </w:tc>
        <w:tc>
          <w:tcPr>
            <w:tcW w:w="8667" w:type="dxa"/>
            <w:gridSpan w:val="27"/>
            <w:tcBorders>
              <w:bottom w:val="single" w:sz="8" w:space="0" w:color="auto"/>
            </w:tcBorders>
            <w:shd w:val="clear" w:color="auto" w:fill="auto"/>
          </w:tcPr>
          <w:p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</w:p>
        </w:tc>
      </w:tr>
      <w:tr>
        <w:trPr>
          <w:trHeight w:val="288"/>
        </w:trPr>
        <w:tc>
          <w:tcPr>
            <w:tcW w:w="11212" w:type="dxa"/>
            <w:gridSpan w:val="34"/>
            <w:shd w:val="clear" w:color="auto" w:fill="99CCFF"/>
            <w:vAlign w:val="center"/>
          </w:tcPr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>
        <w:trPr>
          <w:trHeight w:val="427"/>
        </w:trPr>
        <w:tc>
          <w:tcPr>
            <w:tcW w:w="2545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val="af-ZA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Գնման</w:t>
            </w:r>
            <w:r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գործընթացի</w:t>
            </w:r>
            <w:r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շրջանակներում</w:t>
            </w:r>
            <w:r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հակաօրինական</w:t>
            </w:r>
            <w:r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գործողություններ</w:t>
            </w:r>
            <w:r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հայտնաբերվելու</w:t>
            </w:r>
            <w:r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դեպքում</w:t>
            </w:r>
            <w:r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դրանց</w:t>
            </w:r>
            <w:r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և</w:t>
            </w:r>
            <w:r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այդ</w:t>
            </w:r>
            <w:r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կապակցությամբ</w:t>
            </w:r>
            <w:r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ձեռնարկված</w:t>
            </w:r>
            <w:r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գործողությունների</w:t>
            </w:r>
            <w:r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համառոտ</w:t>
            </w:r>
            <w:r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նկարագիրը</w:t>
            </w:r>
            <w:r>
              <w:rPr>
                <w:rFonts w:ascii="GHEA Grapalat" w:eastAsia="Times New Roman" w:hAnsi="GHEA Grapalat"/>
                <w:sz w:val="14"/>
                <w:szCs w:val="14"/>
                <w:lang w:val="af-ZA" w:eastAsia="ru-RU"/>
              </w:rPr>
              <w:t xml:space="preserve"> </w:t>
            </w:r>
          </w:p>
          <w:p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В случае выявления противозаконных действий в рамках процесса закупки — их краткое описание, а также краткое описание предпринятых в связи с этим действий</w:t>
            </w:r>
          </w:p>
        </w:tc>
        <w:tc>
          <w:tcPr>
            <w:tcW w:w="8667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</w:p>
        </w:tc>
      </w:tr>
      <w:tr>
        <w:trPr>
          <w:trHeight w:val="288"/>
        </w:trPr>
        <w:tc>
          <w:tcPr>
            <w:tcW w:w="11212" w:type="dxa"/>
            <w:gridSpan w:val="34"/>
            <w:tcBorders>
              <w:bottom w:val="single" w:sz="8" w:space="0" w:color="auto"/>
            </w:tcBorders>
            <w:shd w:val="clear" w:color="auto" w:fill="99CCFF"/>
            <w:vAlign w:val="center"/>
          </w:tcPr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>
        <w:trPr>
          <w:trHeight w:val="427"/>
        </w:trPr>
        <w:tc>
          <w:tcPr>
            <w:tcW w:w="2545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Գնման</w:t>
            </w:r>
            <w:r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Times Armenian"/>
                <w:b/>
                <w:sz w:val="14"/>
                <w:szCs w:val="14"/>
                <w:lang w:eastAsia="ru-RU"/>
              </w:rPr>
              <w:t>ընթացակարգի</w:t>
            </w:r>
            <w:proofErr w:type="spellEnd"/>
            <w:r>
              <w:rPr>
                <w:rFonts w:ascii="GHEA Grapalat" w:eastAsia="Times New Roman" w:hAnsi="GHEA Grapalat" w:cs="Times Armenian"/>
                <w:b/>
                <w:sz w:val="14"/>
                <w:szCs w:val="14"/>
                <w:lang w:val="ru-RU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վերաբերյալ</w:t>
            </w:r>
            <w:r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ներկայացված</w:t>
            </w:r>
            <w:r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բողոքները</w:t>
            </w:r>
            <w:r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և</w:t>
            </w:r>
            <w:r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դրանց</w:t>
            </w:r>
            <w:r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վերաբերյալ</w:t>
            </w:r>
            <w:r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կայացված</w:t>
            </w:r>
            <w:r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որոշումները</w:t>
            </w:r>
          </w:p>
          <w:p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Жалобы, поданные относительно процесса закупки, и принятые по ним решения</w:t>
            </w:r>
          </w:p>
        </w:tc>
        <w:tc>
          <w:tcPr>
            <w:tcW w:w="8667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</w:p>
        </w:tc>
      </w:tr>
      <w:tr>
        <w:trPr>
          <w:trHeight w:val="288"/>
        </w:trPr>
        <w:tc>
          <w:tcPr>
            <w:tcW w:w="11212" w:type="dxa"/>
            <w:gridSpan w:val="34"/>
            <w:shd w:val="clear" w:color="auto" w:fill="99CCFF"/>
            <w:vAlign w:val="center"/>
          </w:tcPr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>
        <w:trPr>
          <w:trHeight w:val="427"/>
        </w:trPr>
        <w:tc>
          <w:tcPr>
            <w:tcW w:w="2545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Այլ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անհրաժեշտ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տեղեկություններ</w:t>
            </w:r>
            <w:proofErr w:type="spellEnd"/>
          </w:p>
          <w:p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Другие необходимые сведения</w:t>
            </w:r>
          </w:p>
        </w:tc>
        <w:tc>
          <w:tcPr>
            <w:tcW w:w="8667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/>
              </w:rPr>
            </w:pPr>
          </w:p>
        </w:tc>
      </w:tr>
      <w:tr>
        <w:trPr>
          <w:trHeight w:val="288"/>
        </w:trPr>
        <w:tc>
          <w:tcPr>
            <w:tcW w:w="11212" w:type="dxa"/>
            <w:gridSpan w:val="34"/>
            <w:shd w:val="clear" w:color="auto" w:fill="99CCFF"/>
            <w:vAlign w:val="center"/>
          </w:tcPr>
          <w:p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</w:p>
        </w:tc>
      </w:tr>
      <w:tr>
        <w:trPr>
          <w:trHeight w:val="227"/>
        </w:trPr>
        <w:tc>
          <w:tcPr>
            <w:tcW w:w="11212" w:type="dxa"/>
            <w:gridSpan w:val="34"/>
            <w:shd w:val="clear" w:color="auto" w:fill="auto"/>
            <w:vAlign w:val="center"/>
          </w:tcPr>
          <w:p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  <w:p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Для получения дополнительной информации, связанной с настоящим объявлением, можно обратиться к координатору закупок</w:t>
            </w:r>
          </w:p>
        </w:tc>
      </w:tr>
      <w:tr>
        <w:trPr>
          <w:trHeight w:val="47"/>
        </w:trPr>
        <w:tc>
          <w:tcPr>
            <w:tcW w:w="3510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Անուն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Ազգանուն</w:t>
            </w:r>
            <w:proofErr w:type="spellEnd"/>
          </w:p>
          <w:p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Имя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Фамилия</w:t>
            </w:r>
            <w:proofErr w:type="spellEnd"/>
          </w:p>
        </w:tc>
        <w:tc>
          <w:tcPr>
            <w:tcW w:w="3805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Հեռախոս</w:t>
            </w:r>
            <w:proofErr w:type="spellEnd"/>
          </w:p>
          <w:p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Телефон</w:t>
            </w:r>
            <w:proofErr w:type="spellEnd"/>
          </w:p>
        </w:tc>
        <w:tc>
          <w:tcPr>
            <w:tcW w:w="3897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.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փոստի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հասցեն</w:t>
            </w:r>
            <w:proofErr w:type="spellEnd"/>
          </w:p>
          <w:p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Адрес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эл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.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почты</w:t>
            </w:r>
            <w:proofErr w:type="spellEnd"/>
          </w:p>
        </w:tc>
      </w:tr>
      <w:tr>
        <w:trPr>
          <w:trHeight w:val="47"/>
        </w:trPr>
        <w:tc>
          <w:tcPr>
            <w:tcW w:w="3510" w:type="dxa"/>
            <w:gridSpan w:val="8"/>
            <w:shd w:val="clear" w:color="auto" w:fill="auto"/>
            <w:vAlign w:val="center"/>
          </w:tcPr>
          <w:p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>Ք</w:t>
            </w:r>
            <w:r>
              <w:rPr>
                <w:rFonts w:ascii="Cambria Math" w:eastAsia="Times New Roman" w:hAnsi="Cambria Math"/>
                <w:b/>
                <w:bCs/>
                <w:sz w:val="14"/>
                <w:szCs w:val="14"/>
                <w:lang w:val="hy-AM" w:eastAsia="ru-RU"/>
              </w:rPr>
              <w:t xml:space="preserve">․ </w:t>
            </w:r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>Մայիլյան</w:t>
            </w:r>
          </w:p>
        </w:tc>
        <w:tc>
          <w:tcPr>
            <w:tcW w:w="3805" w:type="dxa"/>
            <w:gridSpan w:val="16"/>
            <w:shd w:val="clear" w:color="auto" w:fill="auto"/>
            <w:vAlign w:val="center"/>
          </w:tcPr>
          <w:p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>060 65 26 54</w:t>
            </w:r>
          </w:p>
        </w:tc>
        <w:tc>
          <w:tcPr>
            <w:tcW w:w="3897" w:type="dxa"/>
            <w:gridSpan w:val="10"/>
            <w:shd w:val="clear" w:color="auto" w:fill="auto"/>
            <w:vAlign w:val="center"/>
          </w:tcPr>
          <w:p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hyperlink r:id="rId8" w:history="1">
              <w:r>
                <w:rPr>
                  <w:rStyle w:val="Hyperlink"/>
                  <w:rFonts w:ascii="GHEA Grapalat" w:eastAsia="Times New Roman" w:hAnsi="GHEA Grapalat"/>
                  <w:b/>
                  <w:bCs/>
                  <w:sz w:val="14"/>
                  <w:szCs w:val="14"/>
                  <w:lang w:eastAsia="ru-RU"/>
                </w:rPr>
                <w:t>kristine.mailyan@mlsa.am</w:t>
              </w:r>
            </w:hyperlink>
          </w:p>
        </w:tc>
      </w:tr>
    </w:tbl>
    <w:p>
      <w:pPr>
        <w:tabs>
          <w:tab w:val="left" w:pos="9829"/>
        </w:tabs>
        <w:ind w:left="0" w:firstLine="0"/>
        <w:rPr>
          <w:rFonts w:ascii="GHEA Grapalat" w:hAnsi="GHEA Grapalat"/>
          <w:sz w:val="18"/>
          <w:szCs w:val="18"/>
          <w:lang w:val="hy-AM"/>
        </w:rPr>
      </w:pPr>
    </w:p>
    <w:sectPr>
      <w:pgSz w:w="11907" w:h="16840" w:code="9"/>
      <w:pgMar w:top="810" w:right="567" w:bottom="284" w:left="1170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>
      <w:pPr>
        <w:spacing w:before="0" w:after="0"/>
      </w:pPr>
      <w:r>
        <w:separator/>
      </w:r>
    </w:p>
  </w:endnote>
  <w:endnote w:type="continuationSeparator" w:id="0">
    <w:p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>
      <w:pPr>
        <w:spacing w:before="0" w:after="0"/>
      </w:pPr>
      <w:r>
        <w:separator/>
      </w:r>
    </w:p>
  </w:footnote>
  <w:footnote w:type="continuationSeparator" w:id="0">
    <w:p>
      <w:pPr>
        <w:spacing w:before="0" w:after="0"/>
      </w:pPr>
      <w:r>
        <w:continuationSeparator/>
      </w:r>
    </w:p>
  </w:footnote>
  <w:footnote w:id="1">
    <w:p>
      <w:pPr>
        <w:pStyle w:val="FootnoteText"/>
        <w:rPr>
          <w:rFonts w:ascii="Sylfaen" w:hAnsi="Sylfaen" w:cs="Sylfaen"/>
          <w:i/>
          <w:sz w:val="12"/>
          <w:szCs w:val="12"/>
        </w:rPr>
      </w:pPr>
      <w:r>
        <w:rPr>
          <w:rFonts w:ascii="GHEA Grapalat" w:hAnsi="GHEA Grapalat"/>
          <w:bCs/>
          <w:i/>
          <w:sz w:val="10"/>
          <w:szCs w:val="10"/>
        </w:rPr>
        <w:footnoteRef/>
      </w:r>
      <w:r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Լրացվում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է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կնքված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պայմանագրով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գնվելիք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քանակը</w:t>
      </w:r>
      <w:proofErr w:type="spellEnd"/>
    </w:p>
  </w:footnote>
  <w:footnote w:id="2">
    <w:p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>
        <w:rPr>
          <w:rFonts w:ascii="GHEA Grapalat" w:hAnsi="GHEA Grapalat"/>
          <w:bCs/>
          <w:i/>
          <w:sz w:val="12"/>
          <w:szCs w:val="12"/>
        </w:rPr>
        <w:t>Լ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տվյալ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պայմանագրի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շրջանակներում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առկա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ֆինանսական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միջոցներով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գնվելիք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 w:cs="Sylfaen"/>
          <w:bCs/>
          <w:i/>
          <w:sz w:val="12"/>
          <w:szCs w:val="12"/>
        </w:rPr>
        <w:t>քանակը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պայմանագրով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քանակը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proofErr w:type="gramStart"/>
      <w:r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proofErr w:type="gramEnd"/>
      <w:r>
        <w:rPr>
          <w:rFonts w:ascii="GHEA Grapalat" w:hAnsi="GHEA Grapalat"/>
          <w:bCs/>
          <w:i/>
          <w:sz w:val="12"/>
          <w:szCs w:val="12"/>
        </w:rPr>
        <w:t>` «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սյունակում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3">
    <w:p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>
        <w:rPr>
          <w:rFonts w:ascii="GHEA Grapalat" w:hAnsi="GHEA Grapalat"/>
          <w:bCs/>
          <w:i/>
          <w:sz w:val="12"/>
          <w:szCs w:val="12"/>
          <w:lang w:val="hy-AM"/>
        </w:rPr>
        <w:t>Եթե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hy-AM"/>
        </w:rPr>
        <w:t xml:space="preserve">տվյալ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proofErr w:type="spellEnd"/>
      <w:r>
        <w:rPr>
          <w:rFonts w:ascii="GHEA Grapalat" w:hAnsi="GHEA Grapalat"/>
          <w:bCs/>
          <w:i/>
          <w:sz w:val="12"/>
          <w:szCs w:val="12"/>
          <w:lang w:val="hy-AM"/>
        </w:rPr>
        <w:t xml:space="preserve"> նախատեսված են ավելի քիչ միջոցներ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ապա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լ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առկա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ֆինանսական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միջոցներով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գումարի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չափը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գումարը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սյունակում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4">
    <w:p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Նշվում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հրավերում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կատարված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բոլոր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փոփոխությունների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ամսաթվերը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5">
    <w:p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>
        <w:rPr>
          <w:rStyle w:val="FootnoteReference"/>
          <w:rFonts w:ascii="GHEA Grapalat" w:hAnsi="GHEA Grapalat"/>
          <w:i/>
          <w:sz w:val="12"/>
          <w:szCs w:val="12"/>
        </w:rPr>
        <w:footnoteRef/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ru-RU"/>
        </w:rPr>
        <w:t>Եթե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ru-RU"/>
        </w:rPr>
        <w:t>առաջարկվ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ած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ru-RU"/>
        </w:rPr>
        <w:t>գները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ru-RU"/>
        </w:rPr>
        <w:t>ներկայացված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ru-RU"/>
        </w:rPr>
        <w:t>են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ru-RU"/>
        </w:rPr>
        <w:t>երկու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ru-RU"/>
        </w:rPr>
        <w:t>կամ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ru-RU"/>
        </w:rPr>
        <w:t>ավելի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ru-RU"/>
        </w:rPr>
        <w:t>արժույթներով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>
        <w:rPr>
          <w:rFonts w:ascii="GHEA Grapalat" w:hAnsi="GHEA Grapalat"/>
          <w:bCs/>
          <w:i/>
          <w:sz w:val="12"/>
          <w:szCs w:val="12"/>
          <w:lang w:val="ru-RU"/>
        </w:rPr>
        <w:t>ապա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գները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լրացնել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տվյալ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հրավերով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սահմանած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փոխարժեքով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r>
        <w:rPr>
          <w:rFonts w:ascii="GHEA Grapalat" w:hAnsi="GHEA Grapalat"/>
          <w:bCs/>
          <w:i/>
          <w:sz w:val="12"/>
          <w:szCs w:val="12"/>
          <w:lang w:val="ru-RU"/>
        </w:rPr>
        <w:t>Հայաստանի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ru-RU"/>
        </w:rPr>
        <w:t>Հանրապետության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ru-RU"/>
        </w:rPr>
        <w:t>դրամով</w:t>
      </w:r>
      <w:r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6">
    <w:p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պայմանագիրը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կնքվելու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է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արժեքով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սակայն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ավելի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քիչ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միջոցներ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ապա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գինը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proofErr w:type="gramStart"/>
      <w:r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 «</w:t>
      </w:r>
      <w:proofErr w:type="spellStart"/>
      <w:proofErr w:type="gramEnd"/>
      <w:r>
        <w:rPr>
          <w:rFonts w:ascii="GHEA Grapalat" w:hAnsi="GHEA Grapalat"/>
          <w:bCs/>
          <w:i/>
          <w:sz w:val="12"/>
          <w:szCs w:val="12"/>
          <w:lang w:val="es-ES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սյունակում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առկա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ֆինանսական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միջոցների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մասով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Առկա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ֆինանսական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միջոցներով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սյունյակում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7">
    <w:p>
      <w:pPr>
        <w:pStyle w:val="FootnoteText"/>
        <w:rPr>
          <w:rFonts w:ascii="GHEA Grapalat" w:hAnsi="GHEA Grapalat"/>
          <w:i/>
          <w:sz w:val="16"/>
          <w:szCs w:val="16"/>
          <w:lang w:val="es-ES"/>
        </w:rPr>
      </w:pPr>
      <w:r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Չի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լրացվում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կողմ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է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հանդիսանում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Հայաստանի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Հանրապետությունում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հարկ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վճարողի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հաշվարկային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հաշիվ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չունեցող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անձը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8">
    <w:p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>
        <w:rPr>
          <w:rFonts w:ascii="GHEA Grapalat" w:hAnsi="GHEA Grapalat"/>
          <w:bCs/>
          <w:i/>
          <w:sz w:val="8"/>
          <w:szCs w:val="8"/>
        </w:rPr>
        <w:footnoteRef/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Սույն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կարգավորումը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հանվում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է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հայտարարությունից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proofErr w:type="gramStart"/>
      <w:r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կնքված</w:t>
      </w:r>
      <w:proofErr w:type="spellEnd"/>
      <w:proofErr w:type="gram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գինը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չի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գերազանցում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գնումների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բազային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միավորը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: </w:t>
      </w:r>
    </w:p>
    <w:p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-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կնքված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proofErr w:type="gramStart"/>
      <w:r>
        <w:rPr>
          <w:rFonts w:ascii="GHEA Grapalat" w:hAnsi="GHEA Grapalat"/>
          <w:bCs/>
          <w:i/>
          <w:sz w:val="12"/>
          <w:szCs w:val="12"/>
        </w:rPr>
        <w:t>գինը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գերազանցում</w:t>
      </w:r>
      <w:proofErr w:type="spellEnd"/>
      <w:proofErr w:type="gram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>
        <w:rPr>
          <w:rFonts w:ascii="GHEA Grapalat" w:hAnsi="GHEA Grapalat"/>
          <w:bCs/>
          <w:i/>
          <w:sz w:val="12"/>
          <w:szCs w:val="12"/>
        </w:rPr>
        <w:t>է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գնումների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բազային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միավորը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և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գնումը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պարունակում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է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պետական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գաղտնիք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ապա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սույն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կարգավորման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առաջին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նախադասությունը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շարադրվում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է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հետևյալ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բովանդակությամբ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>. «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Գնման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սույն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ընթացակարգի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տվյալ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չափաբաժնին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մասնակցելու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հրավերի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հիման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վրա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հայտ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ներկայացրած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մասնակիցները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կարող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սույն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հայտարարության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մեջ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նշված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պատվիրատուին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ներկայացնել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proofErr w:type="gramStart"/>
      <w:r>
        <w:rPr>
          <w:rFonts w:ascii="GHEA Grapalat" w:hAnsi="GHEA Grapalat"/>
          <w:bCs/>
          <w:i/>
          <w:sz w:val="12"/>
          <w:szCs w:val="12"/>
        </w:rPr>
        <w:t>կնքված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proofErr w:type="gram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այդ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չափաբաժնի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արդյունքի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ընդունման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գործընթացին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պատասխանատու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ստորաբաժանման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հետ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համատեղ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մասնակցելու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գրավոր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պահանջ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>՝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սույն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հայտարարությունը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hy-AM"/>
        </w:rPr>
        <w:t>ուղարկվել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ուց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հետո</w:t>
      </w:r>
      <w:proofErr w:type="spellEnd"/>
      <w:r>
        <w:rPr>
          <w:rFonts w:ascii="GHEA Grapalat" w:hAnsi="GHEA Grapalat"/>
          <w:bCs/>
          <w:i/>
          <w:sz w:val="12"/>
          <w:szCs w:val="12"/>
          <w:lang w:val="hy-AM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>------</w:t>
      </w:r>
      <w:r>
        <w:rPr>
          <w:rFonts w:ascii="GHEA Grapalat" w:hAnsi="GHEA Grapalat"/>
          <w:bCs/>
          <w:i/>
          <w:sz w:val="12"/>
          <w:szCs w:val="12"/>
          <w:lang w:val="hy-AM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օրացուցային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օրվա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ընթացքում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  <w:p>
      <w:pPr>
        <w:pStyle w:val="FootnoteText"/>
        <w:jc w:val="both"/>
        <w:rPr>
          <w:rFonts w:ascii="Calibri" w:hAnsi="Calibri"/>
          <w:lang w:val="hy-AM"/>
        </w:rPr>
      </w:pP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-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Սույն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կարգավորմամբ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սահմավող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ժամկետը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չի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կարող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պակաս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լինել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3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օրացուցային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օրից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F401A6"/>
    <w:multiLevelType w:val="hybridMultilevel"/>
    <w:tmpl w:val="2EECA476"/>
    <w:lvl w:ilvl="0" w:tplc="E6D6387A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AB57DCE2-016C-45B1-9E70-47F8FC9BD4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before="360" w:after="240" w:line="240" w:lineRule="auto"/>
      <w:ind w:left="576" w:hanging="576"/>
    </w:pPr>
    <w:rPr>
      <w:rFonts w:ascii="Calibri" w:eastAsia="Calibri" w:hAnsi="Calibri" w:cs="Times New Roman"/>
    </w:rPr>
  </w:style>
  <w:style w:type="paragraph" w:styleId="Heading1">
    <w:name w:val="heading 1"/>
    <w:basedOn w:val="Normal"/>
    <w:link w:val="Heading1Char"/>
    <w:uiPriority w:val="9"/>
    <w:qFormat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paragraph" w:styleId="NoSpacing">
    <w:name w:val="No Spacing"/>
    <w:uiPriority w:val="1"/>
    <w:qFormat/>
    <w:pPr>
      <w:spacing w:after="0" w:line="240" w:lineRule="auto"/>
      <w:ind w:left="576" w:hanging="576"/>
    </w:pPr>
    <w:rPr>
      <w:rFonts w:ascii="Calibri" w:eastAsia="Calibri" w:hAnsi="Calibri" w:cs="Times New Roman"/>
    </w:rPr>
  </w:style>
  <w:style w:type="paragraph" w:customStyle="1" w:styleId="CharChar1">
    <w:name w:val="Char Char1"/>
    <w:basedOn w:val="Normal"/>
    <w:pPr>
      <w:spacing w:before="0" w:after="160" w:line="240" w:lineRule="exact"/>
      <w:ind w:left="0" w:firstLine="0"/>
    </w:pPr>
    <w:rPr>
      <w:rFonts w:ascii="Arial" w:eastAsia="Times New Roman" w:hAnsi="Arial" w:cs="Arial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Segoe UI" w:eastAsia="Calibr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paragraph" w:styleId="FootnoteText">
    <w:name w:val="footnote text"/>
    <w:basedOn w:val="Normal"/>
    <w:link w:val="FootnoteTextChar"/>
    <w:semiHidden/>
    <w:pPr>
      <w:spacing w:before="0" w:after="0"/>
      <w:ind w:left="0" w:firstLine="0"/>
    </w:pPr>
    <w:rPr>
      <w:rFonts w:ascii="Times Armenian" w:eastAsia="Times New Roman" w:hAnsi="Times Armenian"/>
      <w:sz w:val="20"/>
      <w:szCs w:val="20"/>
      <w:lang w:eastAsia="ru-RU"/>
    </w:rPr>
  </w:style>
  <w:style w:type="character" w:customStyle="1" w:styleId="FootnoteTextChar">
    <w:name w:val="Footnote Text Char"/>
    <w:basedOn w:val="DefaultParagraphFont"/>
    <w:link w:val="FootnoteText"/>
    <w:semiHidden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FootnoteReference">
    <w:name w:val="footnote reference"/>
    <w:rPr>
      <w:vertAlign w:val="superscript"/>
    </w:rPr>
  </w:style>
  <w:style w:type="character" w:styleId="Hyperlink">
    <w:name w:val="Hyperlink"/>
    <w:basedOn w:val="DefaultParagraphFont"/>
    <w:uiPriority w:val="99"/>
    <w:unhideWhenUsed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ristine.mailyan@mlsa.a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94AD556-590F-4F0D-A165-BA0F5D55F3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1456</TotalTime>
  <Pages>6</Pages>
  <Words>2566</Words>
  <Characters>14629</Characters>
  <Application>Microsoft Office Word</Application>
  <DocSecurity>0</DocSecurity>
  <Lines>121</Lines>
  <Paragraphs>34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Gor Vardanyan</dc:creator>
  <cp:keywords>https://mul2-minfin.gov.am/tasks/335569/oneclick/0c33142ec370ebb2c84c6dc51082936d064fc1952547b901c58d58baf6b2c4d7.docx?token=86a94a82e5ae5972ffcf6e3bfab8dab3</cp:keywords>
  <cp:lastModifiedBy>kristine mailyan</cp:lastModifiedBy>
  <cp:revision>104</cp:revision>
  <cp:lastPrinted>2021-12-17T10:05:00Z</cp:lastPrinted>
  <dcterms:created xsi:type="dcterms:W3CDTF">2021-06-28T12:08:00Z</dcterms:created>
  <dcterms:modified xsi:type="dcterms:W3CDTF">2022-05-23T07:46:00Z</dcterms:modified>
</cp:coreProperties>
</file>