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985A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Заявление</w:t>
      </w:r>
    </w:p>
    <w:p w14:paraId="571172A9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14:paraId="53689F8D" w14:textId="06F4AE77" w:rsidR="00D951F7" w:rsidRPr="007A03C8" w:rsidRDefault="00D951F7" w:rsidP="00D951F7">
      <w:pPr>
        <w:pStyle w:val="3"/>
        <w:ind w:firstLine="0"/>
        <w:rPr>
          <w:rFonts w:ascii="Arial" w:hAnsi="Arial"/>
          <w:sz w:val="24"/>
          <w:szCs w:val="24"/>
          <w:lang w:val="en-US"/>
        </w:rPr>
      </w:pPr>
      <w:r w:rsidRPr="00860180">
        <w:rPr>
          <w:rFonts w:ascii="Arial" w:hAnsi="Arial" w:cs="Calibri"/>
          <w:b w:val="0"/>
          <w:szCs w:val="24"/>
          <w:lang w:val="af-ZA"/>
        </w:rPr>
        <w:t>Код</w:t>
      </w:r>
      <w:r w:rsidRPr="00860180">
        <w:rPr>
          <w:rFonts w:ascii="Arial" w:hAnsi="Arial" w:cs="Sylfaen"/>
          <w:b w:val="0"/>
          <w:szCs w:val="24"/>
          <w:lang w:val="af-ZA"/>
        </w:rPr>
        <w:t xml:space="preserve"> </w:t>
      </w:r>
      <w:r w:rsidRPr="00860180">
        <w:rPr>
          <w:rFonts w:ascii="Arial" w:hAnsi="Arial" w:cs="Calibri"/>
          <w:b w:val="0"/>
          <w:szCs w:val="24"/>
          <w:lang w:val="af-ZA"/>
        </w:rPr>
        <w:t>процедуры</w:t>
      </w:r>
      <w:r w:rsidRPr="00860180">
        <w:rPr>
          <w:rFonts w:ascii="Arial" w:hAnsi="Arial" w:cs="Calibri"/>
          <w:b w:val="0"/>
          <w:i/>
          <w:szCs w:val="24"/>
          <w:lang w:val="ru-RU"/>
        </w:rPr>
        <w:t xml:space="preserve"> </w:t>
      </w:r>
      <w:r w:rsidRPr="00860180">
        <w:rPr>
          <w:rFonts w:ascii="Arial" w:hAnsi="Arial" w:cs="Sylfaen"/>
          <w:sz w:val="24"/>
          <w:szCs w:val="24"/>
          <w:lang w:val="af-ZA"/>
        </w:rPr>
        <w:t>ՄԿԻ</w:t>
      </w:r>
      <w:r w:rsidRPr="00860180">
        <w:rPr>
          <w:rFonts w:ascii="Arial" w:hAnsi="Arial"/>
          <w:sz w:val="24"/>
          <w:szCs w:val="24"/>
          <w:lang w:val="af-ZA"/>
        </w:rPr>
        <w:t>-</w:t>
      </w:r>
      <w:r w:rsidRPr="00860180">
        <w:rPr>
          <w:rFonts w:ascii="Arial" w:hAnsi="Arial" w:cs="Sylfaen"/>
          <w:sz w:val="24"/>
          <w:szCs w:val="24"/>
          <w:lang w:val="af-ZA"/>
        </w:rPr>
        <w:t>ԳՀԱՊՁԲ</w:t>
      </w:r>
      <w:r w:rsidRPr="00860180">
        <w:rPr>
          <w:rFonts w:ascii="Arial" w:hAnsi="Arial"/>
          <w:sz w:val="24"/>
          <w:szCs w:val="24"/>
          <w:lang w:val="af-ZA"/>
        </w:rPr>
        <w:t>2</w:t>
      </w:r>
      <w:r w:rsidR="007A03C8">
        <w:rPr>
          <w:rFonts w:ascii="Arial" w:hAnsi="Arial"/>
          <w:sz w:val="24"/>
          <w:szCs w:val="24"/>
          <w:lang w:val="en-US"/>
        </w:rPr>
        <w:t>6/7</w:t>
      </w:r>
    </w:p>
    <w:p w14:paraId="6FBDBC1C" w14:textId="77777777" w:rsidR="00D951F7" w:rsidRPr="00860180" w:rsidRDefault="00D951F7" w:rsidP="00D951F7">
      <w:pPr>
        <w:rPr>
          <w:rFonts w:ascii="Arial" w:hAnsi="Arial"/>
          <w:lang w:val="af-ZA"/>
        </w:rPr>
      </w:pPr>
    </w:p>
    <w:p w14:paraId="5CE680D8" w14:textId="3EDA44D7" w:rsidR="00D951F7" w:rsidRDefault="00D951F7" w:rsidP="00D951F7">
      <w:pPr>
        <w:rPr>
          <w:rFonts w:ascii="Arial" w:hAnsi="Arial"/>
          <w:lang w:val="af-ZA"/>
        </w:rPr>
      </w:pPr>
      <w:r w:rsidRPr="00860180">
        <w:rPr>
          <w:rFonts w:ascii="Arial" w:hAnsi="Arial" w:hint="eastAsia"/>
          <w:lang w:val="af-ZA"/>
        </w:rPr>
        <w:t>Институт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молекулярной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биологии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НАН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РА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расположенный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адресу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г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Ереван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ул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Асратяна</w:t>
      </w:r>
      <w:r w:rsidRPr="00860180">
        <w:rPr>
          <w:rFonts w:ascii="Arial" w:hAnsi="Arial"/>
          <w:lang w:val="af-ZA"/>
        </w:rPr>
        <w:t xml:space="preserve"> 7, </w:t>
      </w:r>
      <w:r w:rsidRPr="00860180">
        <w:rPr>
          <w:rFonts w:ascii="Arial" w:hAnsi="Arial" w:hint="eastAsia"/>
          <w:lang w:val="af-ZA"/>
        </w:rPr>
        <w:t>ниже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представл</w:t>
      </w:r>
      <w:r w:rsidRPr="00860180">
        <w:rPr>
          <w:rFonts w:ascii="Arial" w:hAnsi="Arial"/>
          <w:lang w:val="ru-RU"/>
        </w:rPr>
        <w:t>яет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информация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объявлении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несостоявшейся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процедуры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закупки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коду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cs="Sylfaen"/>
          <w:szCs w:val="24"/>
          <w:lang w:val="af-ZA"/>
        </w:rPr>
        <w:t>ՄԿԻ</w:t>
      </w:r>
      <w:r w:rsidRPr="00860180">
        <w:rPr>
          <w:rFonts w:ascii="Arial" w:hAnsi="Arial"/>
          <w:szCs w:val="24"/>
          <w:lang w:val="af-ZA"/>
        </w:rPr>
        <w:t>-</w:t>
      </w:r>
      <w:r w:rsidRPr="00860180">
        <w:rPr>
          <w:rFonts w:ascii="Arial" w:hAnsi="Arial" w:cs="Sylfaen"/>
          <w:szCs w:val="24"/>
          <w:lang w:val="af-ZA"/>
        </w:rPr>
        <w:t>ԳՀԱՊՁԲ</w:t>
      </w:r>
      <w:r w:rsidRPr="00860180">
        <w:rPr>
          <w:rFonts w:ascii="Arial" w:hAnsi="Arial"/>
          <w:szCs w:val="24"/>
          <w:lang w:val="af-ZA"/>
        </w:rPr>
        <w:t>2</w:t>
      </w:r>
      <w:r w:rsidR="007A03C8">
        <w:rPr>
          <w:rFonts w:ascii="Arial" w:hAnsi="Arial"/>
          <w:szCs w:val="24"/>
          <w:lang w:val="hy-AM"/>
        </w:rPr>
        <w:t>6/7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организованной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для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своих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нужд</w:t>
      </w:r>
      <w:r w:rsidRPr="00860180">
        <w:rPr>
          <w:rFonts w:ascii="Arial" w:hAnsi="Arial"/>
          <w:lang w:val="af-ZA"/>
        </w:rPr>
        <w:t>:</w:t>
      </w:r>
    </w:p>
    <w:p w14:paraId="11E9D648" w14:textId="77777777" w:rsidR="00D951F7" w:rsidRPr="00860180" w:rsidRDefault="00D951F7" w:rsidP="00D951F7">
      <w:pPr>
        <w:rPr>
          <w:rFonts w:ascii="Arial" w:hAnsi="Arial"/>
          <w:lang w:val="af-ZA"/>
        </w:rPr>
      </w:pPr>
    </w:p>
    <w:tbl>
      <w:tblPr>
        <w:tblW w:w="11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9"/>
        <w:gridCol w:w="3281"/>
        <w:gridCol w:w="2460"/>
        <w:gridCol w:w="2332"/>
        <w:gridCol w:w="1882"/>
      </w:tblGrid>
      <w:tr w:rsidR="00D951F7" w:rsidRPr="007A03C8" w14:paraId="56DD75BE" w14:textId="77777777" w:rsidTr="003C33D5">
        <w:trPr>
          <w:trHeight w:val="631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CA4" w14:textId="77777777" w:rsidR="00D951F7" w:rsidRPr="00F633CE" w:rsidRDefault="00D951F7" w:rsidP="000E790C">
            <w:pPr>
              <w:jc w:val="center"/>
              <w:rPr>
                <w:rFonts w:ascii="Arial" w:hAnsi="Arial" w:cs="Sylfaen"/>
                <w:b/>
                <w:sz w:val="20"/>
                <w:lang w:val="ru-RU"/>
              </w:rPr>
            </w:pPr>
            <w:r w:rsidRPr="00F633CE">
              <w:rPr>
                <w:rFonts w:ascii="Arial" w:hAnsi="Arial" w:cs="Sylfaen"/>
                <w:b/>
                <w:sz w:val="20"/>
                <w:lang w:val="ru-RU"/>
              </w:rPr>
              <w:t>Лот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0A2A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Краткое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описание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предмета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DE41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Наименования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участников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,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если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таковые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13CB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согласно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части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1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статьи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37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Закона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"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закупках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  <w:r w:rsidRPr="00F633CE">
              <w:rPr>
                <w:rFonts w:ascii="Arial" w:hAnsi="Arial" w:hint="eastAsia"/>
                <w:sz w:val="20"/>
                <w:lang w:val="ru-RU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выделите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соответствующую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строку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24B9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Краткая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информация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обосновании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3C33D5" w:rsidRPr="007A03C8" w14:paraId="4938F930" w14:textId="77777777" w:rsidTr="003C33D5">
        <w:trPr>
          <w:trHeight w:val="631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DF96" w14:textId="02DE9D96" w:rsidR="003C33D5" w:rsidRPr="007A03C8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7A03C8">
              <w:rPr>
                <w:rFonts w:ascii="Arial" w:hAnsi="Arial" w:cs="Sylfaen"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3409" w14:textId="3150401C" w:rsidR="003C33D5" w:rsidRPr="007A03C8" w:rsidRDefault="003C33D5" w:rsidP="003C33D5">
            <w:pPr>
              <w:rPr>
                <w:rFonts w:ascii="Arial" w:hAnsi="Arial" w:cs="Sylfaen" w:hint="eastAsia"/>
                <w:color w:val="000000"/>
                <w:sz w:val="20"/>
                <w:lang w:val="ru-RU"/>
              </w:rPr>
            </w:pPr>
            <w:r w:rsidRPr="007A03C8">
              <w:rPr>
                <w:rFonts w:ascii="Arial" w:hAnsi="Arial" w:cs="Sylfaen"/>
                <w:color w:val="000000"/>
                <w:sz w:val="20"/>
                <w:lang w:val="ru-RU"/>
              </w:rPr>
              <w:t>Материалы и принадлежности для контроля качества ДНК, подготовки библиотек секвенирования и проведения секвенирования:Набор реагентов высокой чувствительности для определения размера и концентрации библиотек секвенирования ДНК на системе Agilent 4150 TapeStation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4677" w14:textId="6B7E351E" w:rsidR="003C33D5" w:rsidRPr="007A03C8" w:rsidRDefault="003C33D5" w:rsidP="003C33D5">
            <w:pPr>
              <w:rPr>
                <w:rFonts w:ascii="Arial" w:hAnsi="Arial" w:cs="Sylfaen" w:hint="eastAsia"/>
                <w:color w:val="000000"/>
                <w:sz w:val="20"/>
                <w:lang w:val="ru-RU"/>
              </w:rPr>
            </w:pPr>
            <w:r w:rsidRPr="007A03C8">
              <w:rPr>
                <w:rFonts w:ascii="Arial" w:hAnsi="Arial" w:cs="Sylfaen" w:hint="eastAsia"/>
                <w:color w:val="000000"/>
                <w:sz w:val="20"/>
                <w:lang w:val="ru-RU"/>
              </w:rPr>
              <w:t>Концерн</w:t>
            </w:r>
            <w:r w:rsidRPr="007A03C8">
              <w:rPr>
                <w:rFonts w:ascii="Arial" w:hAnsi="Arial" w:cs="Sylfaen"/>
                <w:color w:val="000000"/>
                <w:sz w:val="20"/>
                <w:lang w:val="ru-RU"/>
              </w:rPr>
              <w:t xml:space="preserve"> </w:t>
            </w:r>
            <w:r w:rsidRPr="007A03C8">
              <w:rPr>
                <w:rFonts w:ascii="Arial" w:hAnsi="Arial" w:cs="Sylfaen" w:hint="eastAsia"/>
                <w:color w:val="000000"/>
                <w:sz w:val="20"/>
                <w:lang w:val="ru-RU"/>
              </w:rPr>
              <w:t>Энергомаш</w:t>
            </w:r>
            <w:r w:rsidRPr="007A03C8">
              <w:rPr>
                <w:rFonts w:ascii="Arial" w:hAnsi="Arial" w:cs="Sylfaen"/>
                <w:color w:val="000000"/>
                <w:sz w:val="20"/>
                <w:lang w:val="ru-RU"/>
              </w:rPr>
              <w:t xml:space="preserve"> </w:t>
            </w:r>
            <w:r w:rsidRPr="007A03C8">
              <w:rPr>
                <w:rFonts w:ascii="Arial" w:hAnsi="Arial" w:cs="Sylfaen" w:hint="eastAsia"/>
                <w:color w:val="000000"/>
                <w:sz w:val="20"/>
                <w:lang w:val="ru-RU"/>
              </w:rPr>
              <w:t>ЗАО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0D2F" w14:textId="495AD552" w:rsidR="003C33D5" w:rsidRPr="003C33D5" w:rsidRDefault="003C33D5" w:rsidP="003C33D5">
            <w:pPr>
              <w:rPr>
                <w:rFonts w:ascii="Arial" w:hAnsi="Arial" w:cs="Sylfaen" w:hint="eastAsia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A8A0" w14:textId="3CB697E3" w:rsidR="003C33D5" w:rsidRPr="003C33D5" w:rsidRDefault="003C33D5" w:rsidP="003C33D5">
            <w:pPr>
              <w:rPr>
                <w:rFonts w:ascii="Arial" w:hAnsi="Arial" w:cs="Sylfaen" w:hint="eastAsia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Была предложена цена выше оценочной цены</w:t>
            </w:r>
          </w:p>
        </w:tc>
      </w:tr>
      <w:tr w:rsidR="003C33D5" w:rsidRPr="007A03C8" w14:paraId="154C6FD8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4228895A" w14:textId="27AF7728" w:rsidR="003C33D5" w:rsidRPr="00382758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8F08" w14:textId="117AF0D5" w:rsidR="003C33D5" w:rsidRPr="00382758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Хлороформ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ED17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5443" w14:textId="386EA281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5E11" w14:textId="141E75DB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60DA3B45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1F6CAA64" w14:textId="3475D0CE" w:rsidR="003C33D5" w:rsidRPr="00382758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82BD" w14:textId="26D835DF" w:rsidR="003C33D5" w:rsidRPr="00382758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Трис основание (порошок)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6048" w14:textId="19C8C5AD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78E8" w14:textId="4EF6C092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3274" w14:textId="0BC7C5B0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1457E807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51896074" w14:textId="4F9766FB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360F" w14:textId="7E568325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Bacto казитон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90DB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C5E7" w14:textId="2C8E426E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E612" w14:textId="689739FE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3D75E530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6AD2313F" w14:textId="57F22C15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2E5B" w14:textId="00921566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Ruminococcus bromii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542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4AC4" w14:textId="0C98C2C8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095C" w14:textId="5B752FA6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4788511C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4AFE6FCC" w14:textId="7F4B8F84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3B091" w14:textId="10CDB444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D-глюкоза моногидрат (D-Glucose monohydrate)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5AC7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75AA" w14:textId="39B1C79A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A77E" w14:textId="74431FAE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1ECE8DDD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77875D00" w14:textId="3E8956B7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BECA" w14:textId="35D0854B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Уксусная кислота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138B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6BE7" w14:textId="4E235404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3D6F" w14:textId="3C5AF665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712E5F85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3AB48E3D" w14:textId="1B966DC8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9187" w14:textId="74FE5BD5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ЭДТА (порошок)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B9F1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A7B" w14:textId="08AB4B79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C8E9" w14:textId="2E7B1F13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491D7F14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0BE46D47" w14:textId="5D15F3D6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EFAB" w14:textId="2E384384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Цетилтриметиламмоний бромид (CTAB), порошок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59C6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4EC" w14:textId="4463E5A2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5353" w14:textId="476D4780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5FC1E15D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7FBD9BF0" w14:textId="3F82F293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51EE" w14:textId="1DA0C028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Хлорид натрия (порошок или кристаллы)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E829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386D" w14:textId="465CD690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64AC" w14:textId="72A01CB7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3C8AAF1A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4A654306" w14:textId="3AF86E56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17B2" w14:textId="67ADAEBC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Смесь фенол/хлороформ/изоамиловый спирт (25/24/1)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CB54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09D1" w14:textId="037A807C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6887" w14:textId="0D9FCD06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4733F3C5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1E99290F" w14:textId="1892AF72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EEC6" w14:textId="4E61560B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Изоамиловый спирт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2953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37AE" w14:textId="46890698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08F2" w14:textId="11CEBD87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35964C15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4E7D7D22" w14:textId="072ED597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5CB1" w14:textId="2AC4C36B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Материалы и принадлежности для контроля качества ДНК, подготовки библиотек секвенирования и проведения секвенирования:Пробирки Axygen 0,5 мл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B5E3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9929" w14:textId="4349A262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8F9D" w14:textId="7AE7683C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0B193B45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20794C12" w14:textId="6F44FD10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lastRenderedPageBreak/>
              <w:t>33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7FFB1" w14:textId="44AD37F0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Мышиное моноклональное антитело CDKN2A/p16 Antibody,CDKN2A/p16 mouse monoclonal Antibody,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0922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4367" w14:textId="1A96AF73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AF8C" w14:textId="21D586C0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7218BAE0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36F09D4C" w14:textId="4447C608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4DA4" w14:textId="10850490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Гуадецитабин натрия Guadecitabine sodium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6F08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79AB" w14:textId="179F418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8763" w14:textId="53A1A059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24516098" w14:textId="77777777" w:rsidTr="003C33D5">
        <w:trPr>
          <w:trHeight w:val="429"/>
          <w:jc w:val="center"/>
        </w:trPr>
        <w:tc>
          <w:tcPr>
            <w:tcW w:w="1148" w:type="dxa"/>
            <w:vAlign w:val="center"/>
          </w:tcPr>
          <w:p w14:paraId="26F0726B" w14:textId="5A0CD21E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29DE" w14:textId="38E59F84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0.22 µm PES թաղանթով շպրիցային ֆիլտրեր 0.22um PES membrane Syringe Filters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0FED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CEB0" w14:textId="7A915B08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1CBE" w14:textId="355E46E8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082C6E27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0C66" w14:textId="1B98DF0E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6199" w14:textId="52B1D8C7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Козья сыворотка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FB6F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8FE4" w14:textId="7CD2F5A3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EB02" w14:textId="442679BB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476E26A5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5F2" w14:textId="0BD62915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802E" w14:textId="31F2B57D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Ослиная сыворотка (donkey serum)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588D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EC2A" w14:textId="1318DD2B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0A62" w14:textId="3BE9731E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2F7845C2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0F45" w14:textId="4729525A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98AB" w14:textId="17492DA6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Наконечник стерильный 200մկլ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A05A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7A6E" w14:textId="05F21E18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B0B7" w14:textId="34792A2E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42ACD38E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4B7F" w14:textId="4DF1A381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07F4" w14:textId="4A1A5A8A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Клеточная среда Eagle MEM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D3B0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DBAF" w14:textId="2753E7AD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8CC3" w14:textId="58EB9DD4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27469BF0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3536" w14:textId="082A8498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58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3DC6" w14:textId="622D6540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ингибитор протеазы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90A6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013A" w14:textId="6212C0E1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EE82" w14:textId="047E630A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0B36E055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E116" w14:textId="029244A3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59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E2FB" w14:textId="405FC269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Буфер для разделения белков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96CB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BAE5" w14:textId="7FAA2E4D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B22B" w14:textId="3EBF3E9A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02A97FA1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33A3" w14:textId="34B1FB88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D134" w14:textId="2B0B6287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Пируват натрия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7B53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0B47" w14:textId="49D172E3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5A63" w14:textId="0331393F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4CD272DD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C245" w14:textId="31654BF6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63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C223" w14:textId="161FF636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Готовый к применению 4% раствор параформальдегида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6FDC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3F23" w14:textId="45A7C593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07FD" w14:textId="5053780C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2E05B2FD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6CFE" w14:textId="633520ED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64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35EA" w14:textId="083CFD7E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Тритон-100X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09E8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D016" w14:textId="2D314C36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CEC9" w14:textId="57458404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45053895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629E" w14:textId="26D572A3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65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109A" w14:textId="659BA2F7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Нитриловые перчатки, размерL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CF8C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DB0A" w14:textId="20E66379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FCC7" w14:textId="4182E084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64E245E0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6F1" w14:textId="1EC7D013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66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8DE7" w14:textId="7286236B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Нитриловые перчатки, размер M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B328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D003" w14:textId="54EBED56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CBB3" w14:textId="79FCDDB8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3C33D5" w:rsidRPr="007A03C8" w14:paraId="6B6DA3E8" w14:textId="77777777" w:rsidTr="003C33D5">
        <w:trPr>
          <w:trHeight w:val="4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DC64" w14:textId="1F09BAC1" w:rsidR="003C33D5" w:rsidRPr="003C33D5" w:rsidRDefault="003C33D5" w:rsidP="003C33D5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67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D6B3" w14:textId="534E53C1" w:rsidR="003C33D5" w:rsidRPr="003C33D5" w:rsidRDefault="003C33D5" w:rsidP="003C33D5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  <w:t>Нитриловые перчатки, размер 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59DB" w14:textId="77777777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15AE" w14:textId="74D2E81B" w:rsidR="003C33D5" w:rsidRPr="003C33D5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7600" w14:textId="5A1F5535" w:rsidR="003C33D5" w:rsidRPr="00F633CE" w:rsidRDefault="003C33D5" w:rsidP="003C33D5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</w:tbl>
    <w:p w14:paraId="1BE91571" w14:textId="5C1E0995" w:rsidR="003C33D5" w:rsidRDefault="003C33D5" w:rsidP="003C33D5">
      <w:pPr>
        <w:pStyle w:val="31"/>
        <w:spacing w:after="240" w:line="360" w:lineRule="auto"/>
        <w:ind w:firstLine="709"/>
        <w:rPr>
          <w:rFonts w:ascii="Arial" w:hAnsi="Arial" w:cs="Calibri"/>
          <w:b w:val="0"/>
          <w:i w:val="0"/>
          <w:szCs w:val="24"/>
          <w:lang w:val="pt-BR"/>
        </w:rPr>
      </w:pPr>
      <w:r>
        <w:rPr>
          <w:rFonts w:ascii="Arial" w:hAnsi="Arial" w:cs="Calibri" w:hint="eastAsia"/>
          <w:b w:val="0"/>
          <w:i w:val="0"/>
          <w:szCs w:val="24"/>
          <w:lang w:val="ru-RU"/>
        </w:rPr>
        <w:t>Д</w:t>
      </w:r>
      <w:r>
        <w:rPr>
          <w:rFonts w:ascii="Arial" w:hAnsi="Arial" w:cs="Calibri"/>
          <w:b w:val="0"/>
          <w:i w:val="0"/>
          <w:szCs w:val="24"/>
          <w:lang w:val="hy-AM"/>
        </w:rPr>
        <w:t>ля лота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>8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будет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применен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период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бездействия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10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календарных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дней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,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со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следующего дня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опубликования</w:t>
      </w:r>
      <w:r>
        <w:rPr>
          <w:rFonts w:ascii="Arial" w:hAnsi="Arial" w:cs="Calibri"/>
          <w:b w:val="0"/>
          <w:i w:val="0"/>
          <w:szCs w:val="24"/>
          <w:lang w:val="hy-AM"/>
        </w:rPr>
        <w:t>.</w:t>
      </w:r>
    </w:p>
    <w:p w14:paraId="3C26DE43" w14:textId="738F3E70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Для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получения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дополнительной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информации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связанной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этим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объявлением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вы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можете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обратиться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="00F633CE">
        <w:rPr>
          <w:rFonts w:ascii="Arial" w:hAnsi="Arial" w:cs="Calibri"/>
          <w:b w:val="0"/>
          <w:i w:val="0"/>
          <w:szCs w:val="24"/>
          <w:lang w:val="ru-RU"/>
        </w:rPr>
        <w:t>к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Координатору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закупок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коду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Sylfaen"/>
          <w:sz w:val="18"/>
          <w:szCs w:val="18"/>
          <w:lang w:val="af-ZA"/>
        </w:rPr>
        <w:t>ՄԿԻ</w:t>
      </w:r>
      <w:r w:rsidRPr="00860180">
        <w:rPr>
          <w:rFonts w:ascii="Arial" w:hAnsi="Arial"/>
          <w:sz w:val="18"/>
          <w:szCs w:val="18"/>
          <w:lang w:val="af-ZA"/>
        </w:rPr>
        <w:t>-</w:t>
      </w:r>
      <w:r w:rsidRPr="00860180">
        <w:rPr>
          <w:rFonts w:ascii="Arial" w:hAnsi="Arial" w:cs="Sylfaen"/>
          <w:sz w:val="18"/>
          <w:szCs w:val="18"/>
          <w:lang w:val="af-ZA"/>
        </w:rPr>
        <w:t>ԳՀԱՊՁԲ</w:t>
      </w:r>
      <w:r w:rsidRPr="00860180">
        <w:rPr>
          <w:rFonts w:ascii="Arial" w:hAnsi="Arial"/>
          <w:sz w:val="18"/>
          <w:szCs w:val="18"/>
          <w:lang w:val="af-ZA"/>
        </w:rPr>
        <w:t>2</w:t>
      </w:r>
      <w:r w:rsidR="007A03C8" w:rsidRPr="007A03C8">
        <w:rPr>
          <w:rFonts w:ascii="Arial" w:hAnsi="Arial"/>
          <w:sz w:val="18"/>
          <w:szCs w:val="18"/>
          <w:lang w:val="ru-RU"/>
        </w:rPr>
        <w:t>6/7</w:t>
      </w:r>
      <w:r w:rsidR="00F633CE">
        <w:rPr>
          <w:rFonts w:ascii="Arial" w:hAnsi="Arial"/>
          <w:sz w:val="18"/>
          <w:szCs w:val="18"/>
          <w:lang w:val="ru-RU"/>
        </w:rPr>
        <w:t xml:space="preserve"> 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Нарине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Айрапетян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</w:t>
      </w:r>
    </w:p>
    <w:p w14:paraId="3A2990FF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Телефон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28-26-22; 099-51-52-70.</w:t>
      </w:r>
    </w:p>
    <w:p w14:paraId="67AC6C9D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Эл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.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почта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gnumner@mb.sci.am</w:t>
      </w:r>
    </w:p>
    <w:p w14:paraId="5CCFA50A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Заказчик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: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ГНКО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Институт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молекулярной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биологии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РА</w:t>
      </w:r>
    </w:p>
    <w:p w14:paraId="24FB60F4" w14:textId="77777777" w:rsidR="001A790E" w:rsidRPr="00D951F7" w:rsidRDefault="001A790E">
      <w:pPr>
        <w:rPr>
          <w:lang w:val="pt-BR"/>
        </w:rPr>
      </w:pPr>
    </w:p>
    <w:p w14:paraId="0938AE26" w14:textId="77777777" w:rsidR="00284FC4" w:rsidRPr="00D951F7" w:rsidRDefault="00284FC4">
      <w:pPr>
        <w:rPr>
          <w:lang w:val="pt-BR"/>
        </w:rPr>
      </w:pPr>
    </w:p>
    <w:sectPr w:rsidR="00284FC4" w:rsidRPr="00D951F7" w:rsidSect="00745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66B2" w14:textId="77777777" w:rsidR="005D48B4" w:rsidRDefault="005D48B4">
      <w:r>
        <w:separator/>
      </w:r>
    </w:p>
  </w:endnote>
  <w:endnote w:type="continuationSeparator" w:id="0">
    <w:p w14:paraId="1C957881" w14:textId="77777777" w:rsidR="005D48B4" w:rsidRDefault="005D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7FD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67B1EF" w14:textId="77777777" w:rsidR="00691AC4" w:rsidRDefault="00691AC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5653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C8062AD" w14:textId="77777777" w:rsidR="00691AC4" w:rsidRDefault="00691AC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914E" w14:textId="77777777" w:rsidR="00691AC4" w:rsidRDefault="00691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B90E" w14:textId="77777777" w:rsidR="005D48B4" w:rsidRDefault="005D48B4">
      <w:r>
        <w:separator/>
      </w:r>
    </w:p>
  </w:footnote>
  <w:footnote w:type="continuationSeparator" w:id="0">
    <w:p w14:paraId="199084F8" w14:textId="77777777" w:rsidR="005D48B4" w:rsidRDefault="005D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2861" w14:textId="77777777" w:rsidR="00691AC4" w:rsidRDefault="00691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C552" w14:textId="77777777" w:rsidR="00691AC4" w:rsidRDefault="00691A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BC1" w14:textId="77777777" w:rsidR="00691AC4" w:rsidRDefault="00691A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44"/>
    <w:rsid w:val="0005161E"/>
    <w:rsid w:val="00095B7F"/>
    <w:rsid w:val="000C1BC3"/>
    <w:rsid w:val="000E6FFF"/>
    <w:rsid w:val="00136F95"/>
    <w:rsid w:val="00193ADE"/>
    <w:rsid w:val="001A3199"/>
    <w:rsid w:val="001A790E"/>
    <w:rsid w:val="001F0598"/>
    <w:rsid w:val="0023168A"/>
    <w:rsid w:val="00240C29"/>
    <w:rsid w:val="00256116"/>
    <w:rsid w:val="00270869"/>
    <w:rsid w:val="00284FC4"/>
    <w:rsid w:val="002C121A"/>
    <w:rsid w:val="002E2FF2"/>
    <w:rsid w:val="00382758"/>
    <w:rsid w:val="00397C7A"/>
    <w:rsid w:val="003C33D5"/>
    <w:rsid w:val="0045449F"/>
    <w:rsid w:val="00473142"/>
    <w:rsid w:val="004819AE"/>
    <w:rsid w:val="004F0BB8"/>
    <w:rsid w:val="00525DB1"/>
    <w:rsid w:val="00591ECF"/>
    <w:rsid w:val="005D48B4"/>
    <w:rsid w:val="005F3C09"/>
    <w:rsid w:val="00615E8A"/>
    <w:rsid w:val="0062453A"/>
    <w:rsid w:val="00691AC4"/>
    <w:rsid w:val="007454D6"/>
    <w:rsid w:val="00770EB9"/>
    <w:rsid w:val="007A03C8"/>
    <w:rsid w:val="007D6FB6"/>
    <w:rsid w:val="00827C6F"/>
    <w:rsid w:val="008569B6"/>
    <w:rsid w:val="008918AA"/>
    <w:rsid w:val="00914FC7"/>
    <w:rsid w:val="00977A19"/>
    <w:rsid w:val="00983797"/>
    <w:rsid w:val="009D2DDF"/>
    <w:rsid w:val="00A30144"/>
    <w:rsid w:val="00AB3053"/>
    <w:rsid w:val="00C24844"/>
    <w:rsid w:val="00C60D7A"/>
    <w:rsid w:val="00C75AD6"/>
    <w:rsid w:val="00D62678"/>
    <w:rsid w:val="00D85958"/>
    <w:rsid w:val="00D951F7"/>
    <w:rsid w:val="00E04AF9"/>
    <w:rsid w:val="00E32D4A"/>
    <w:rsid w:val="00ED3115"/>
    <w:rsid w:val="00F20E38"/>
    <w:rsid w:val="00F47672"/>
    <w:rsid w:val="00F633CE"/>
    <w:rsid w:val="00F82B06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E40D"/>
  <w15:chartTrackingRefBased/>
  <w15:docId w15:val="{28760112-4D2C-4540-B6CD-31A8A64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51F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qFormat/>
    <w:rsid w:val="00D951F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1F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951F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951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D951F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951F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951F7"/>
  </w:style>
  <w:style w:type="paragraph" w:styleId="a6">
    <w:name w:val="footer"/>
    <w:basedOn w:val="a"/>
    <w:link w:val="a7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951F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D951F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95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951F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value">
    <w:name w:val="value"/>
    <w:rsid w:val="002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USER</cp:lastModifiedBy>
  <cp:revision>21</cp:revision>
  <cp:lastPrinted>2024-08-27T09:32:00Z</cp:lastPrinted>
  <dcterms:created xsi:type="dcterms:W3CDTF">2022-11-07T11:07:00Z</dcterms:created>
  <dcterms:modified xsi:type="dcterms:W3CDTF">2026-02-06T07:51:00Z</dcterms:modified>
</cp:coreProperties>
</file>