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64" w:rsidRPr="00940211" w:rsidRDefault="00FB2764" w:rsidP="00940211">
      <w:pPr>
        <w:spacing w:before="0" w:after="0"/>
        <w:ind w:left="0" w:firstLine="0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BB65C5" w:rsidRDefault="006B6F30" w:rsidP="00BB65C5">
      <w:pPr>
        <w:spacing w:before="0" w:after="0"/>
        <w:ind w:left="0" w:firstLine="709"/>
        <w:jc w:val="both"/>
        <w:rPr>
          <w:rFonts w:ascii="Sylfaen" w:hAnsi="Sylfaen" w:cs="Sylfaen"/>
          <w:bCs/>
          <w:sz w:val="20"/>
          <w:szCs w:val="20"/>
          <w:lang w:val="hy-AM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&lt;&lt;Թիվ 3 մանկապատանեկան ստեղծագործական կենտրոն&gt;&gt; 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Էրեբունի 15 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r w:rsidR="00F65380">
        <w:rPr>
          <w:rFonts w:ascii="Sylfaen" w:hAnsi="Sylfaen" w:cs="Sylfaen"/>
          <w:bCs/>
          <w:sz w:val="20"/>
          <w:szCs w:val="20"/>
          <w:lang w:val="hy-AM"/>
        </w:rPr>
        <w:t xml:space="preserve">ապրանքների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NԹ3ՄՊՍԿ-ՄԱ</w:t>
      </w:r>
      <w:r>
        <w:rPr>
          <w:rFonts w:ascii="Sylfaen" w:hAnsi="Sylfaen" w:cs="Sylfaen"/>
          <w:bCs/>
          <w:sz w:val="20"/>
          <w:szCs w:val="20"/>
          <w:lang w:val="hy-AM"/>
        </w:rPr>
        <w:t>-25</w:t>
      </w:r>
      <w:r w:rsidRPr="006B6F30">
        <w:rPr>
          <w:rFonts w:ascii="Sylfaen" w:hAnsi="Sylfaen" w:cs="Sylfaen"/>
          <w:bCs/>
          <w:sz w:val="20"/>
          <w:szCs w:val="20"/>
          <w:lang w:val="hy-AM"/>
        </w:rPr>
        <w:t>/</w:t>
      </w:r>
      <w:r w:rsidR="00473092">
        <w:rPr>
          <w:rFonts w:ascii="Sylfaen" w:hAnsi="Sylfaen" w:cs="Sylfaen"/>
          <w:bCs/>
          <w:sz w:val="20"/>
          <w:szCs w:val="20"/>
          <w:lang w:val="hy-AM"/>
        </w:rPr>
        <w:t>31</w:t>
      </w:r>
      <w:r w:rsidR="00670FC8">
        <w:rPr>
          <w:rFonts w:ascii="Sylfaen" w:hAnsi="Sylfaen" w:cs="Sylfaen"/>
          <w:bCs/>
          <w:sz w:val="20"/>
          <w:szCs w:val="20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B01B33" w:rsidTr="00B01B3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3092" w:rsidRDefault="00473092" w:rsidP="0047309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Խողովակ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քառ.սև</w:t>
            </w:r>
            <w:proofErr w:type="spellEnd"/>
            <w:proofErr w:type="gram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մետաղյա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30</w:t>
            </w: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x</w:t>
            </w:r>
          </w:p>
          <w:p w:rsidR="00940211" w:rsidRPr="00670FC8" w:rsidRDefault="00473092" w:rsidP="00473092">
            <w:pPr>
              <w:pStyle w:val="ac"/>
              <w:spacing w:before="0" w:after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20x2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5F2657" w:rsidRDefault="00473092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Գծ․մ</w:t>
            </w:r>
          </w:p>
        </w:tc>
        <w:tc>
          <w:tcPr>
            <w:tcW w:w="826" w:type="dxa"/>
            <w:gridSpan w:val="3"/>
            <w:shd w:val="clear" w:color="auto" w:fill="auto"/>
          </w:tcPr>
          <w:p w:rsidR="00940211" w:rsidRDefault="00940211" w:rsidP="00940211">
            <w:r w:rsidRPr="008920B7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940211" w:rsidRPr="00B01B33" w:rsidRDefault="00473092" w:rsidP="005F2657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Default="00940211" w:rsidP="00940211">
            <w:r w:rsidRPr="003F53A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:rsidR="00940211" w:rsidRPr="0052067A" w:rsidRDefault="00473092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32400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40211" w:rsidRPr="006A65D1" w:rsidRDefault="00940211" w:rsidP="00940211">
            <w:pPr>
              <w:pStyle w:val="ac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Ըստ տեխնիկական բնութագրի</w:t>
            </w:r>
          </w:p>
        </w:tc>
      </w:tr>
      <w:tr w:rsidR="00940211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SimSun" w:hAnsi="Sylfaen" w:cs="Sylfaen"/>
                <w:bCs/>
                <w:i/>
                <w:iCs/>
                <w:sz w:val="16"/>
                <w:szCs w:val="16"/>
                <w:lang w:val="hy-AM" w:eastAsia="zh-CN"/>
              </w:rPr>
              <w:t xml:space="preserve">Գնումների մասին» ՀՀ օրենքի </w:t>
            </w:r>
          </w:p>
        </w:tc>
      </w:tr>
      <w:tr w:rsidR="00940211" w:rsidRPr="00A81CC9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40211" w:rsidRPr="00607E33" w:rsidRDefault="00473092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28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70FC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94021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  <w:r w:rsidR="009402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607E33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40211" w:rsidRPr="00A81CC9" w:rsidTr="00B01B33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40211" w:rsidRPr="00A81CC9" w:rsidTr="005E60C8">
        <w:trPr>
          <w:trHeight w:val="439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73518F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473092" w:rsidRDefault="00473092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«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ԱՐԹՈՒՐ ԵՎ ՀՈՎԻԿ»</w:t>
            </w:r>
            <w:r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5F2657" w:rsidRDefault="00473092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27000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5F2657" w:rsidRDefault="00473092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Theme="minorHAnsi" w:hAnsiTheme="minorHAnsi" w:cs="NotoSans-Bold"/>
                <w:b/>
                <w:bCs/>
                <w:sz w:val="16"/>
                <w:szCs w:val="16"/>
                <w:lang w:val="hy-AM"/>
              </w:rPr>
              <w:t>5400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D36BFE" w:rsidRDefault="00473092" w:rsidP="0094021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32400</w:t>
            </w:r>
          </w:p>
        </w:tc>
      </w:tr>
      <w:tr w:rsidR="00940211" w:rsidRPr="00A81CC9" w:rsidTr="00B01B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B01B33"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40211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40211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40211" w:rsidRPr="00A81CC9" w:rsidTr="005E60C8">
        <w:trPr>
          <w:trHeight w:val="169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211" w:rsidRPr="00B86D56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40211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473092" w:rsidP="00670FC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70FC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9402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2025թ</w:t>
            </w:r>
            <w:r w:rsidR="00940211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40211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40211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E73BAA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-</w:t>
            </w:r>
          </w:p>
        </w:tc>
      </w:tr>
      <w:tr w:rsidR="00940211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40211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40211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40211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40211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940211" w:rsidRPr="00346331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40211" w:rsidRPr="00E73BAA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940211" w:rsidRPr="00E73BAA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40211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40211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40211" w:rsidRPr="00A81CC9" w:rsidTr="00B01B3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4F450D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40211" w:rsidRPr="00A81CC9" w:rsidRDefault="00473092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«</w:t>
            </w: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ԱՐԹՈՒՐ ԵՎ ՀՈՎԻԿ»</w:t>
            </w:r>
            <w:r>
              <w:rPr>
                <w:rFonts w:asciiTheme="minorHAnsi" w:eastAsiaTheme="minorHAnsi" w:hAnsiTheme="minorHAnsi" w:cs="DejaVuSerifCondensed"/>
                <w:sz w:val="16"/>
                <w:szCs w:val="16"/>
                <w:lang w:val="hy-AM"/>
              </w:rPr>
              <w:t>ՍՊԸ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473092" w:rsidRDefault="00473092" w:rsidP="0094021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DejaVuSerifCondensed" w:eastAsiaTheme="minorHAnsi" w:hAnsi="DejaVuSerifCondensed" w:cs="DejaVuSerifCondensed"/>
                <w:sz w:val="20"/>
                <w:szCs w:val="20"/>
                <w:lang w:val="hy-AM"/>
              </w:rPr>
            </w:pPr>
            <w:r w:rsidRPr="00473092"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  <w:t>ԷՐԵԲՈՒՆԻ ԹԱՂԱՄԱՍ ԴԱՎԻԹ ԲԵԿԻ 2 ԹՂՄ. 61հող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473092" w:rsidP="005F26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1570022123380100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670FC8" w:rsidRDefault="00473092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NotoSans-Regular" w:eastAsiaTheme="minorHAnsi" w:hAnsi="NotoSans-Regular" w:cs="NotoSans-Regular"/>
                <w:sz w:val="16"/>
                <w:szCs w:val="16"/>
                <w:lang w:val="ru-RU"/>
              </w:rPr>
              <w:t>0 9 2 1 0 4 8 4</w:t>
            </w:r>
            <w:bookmarkStart w:id="0" w:name="_GoBack"/>
            <w:bookmarkEnd w:id="0"/>
          </w:p>
        </w:tc>
      </w:tr>
      <w:tr w:rsidR="00940211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`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mpskmshakuyt@gmail.com:</w:t>
            </w:r>
            <w:r w:rsidRPr="00346331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473092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940211" w:rsidRPr="00473092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473092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20D5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507FD5">
              <w:rPr>
                <w:rFonts w:ascii="Sylfaen" w:hAnsi="Sylfaen" w:cs="Sylfaen"/>
                <w:sz w:val="16"/>
                <w:szCs w:val="16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940211" w:rsidRPr="00473092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0211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940211" w:rsidRPr="00A81CC9" w:rsidRDefault="00940211" w:rsidP="009402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40211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0211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211" w:rsidRPr="00A81CC9" w:rsidRDefault="00940211" w:rsidP="009402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40211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Ալինա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077-39-09-57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940211" w:rsidRPr="00346331" w:rsidRDefault="00940211" w:rsidP="009402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sahakyan.alinochka@list.ru</w:t>
            </w:r>
          </w:p>
        </w:tc>
      </w:tr>
    </w:tbl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4FB3" w:rsidRPr="00A34FB3" w:rsidRDefault="00A34F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&lt;&lt;Թիվ 3 մանկապատանեկան ստեղծագործական կենտրոն&gt;&gt; ՀՈԱԿ</w:t>
      </w: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A81CC9" w:rsidRPr="00A34F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p w:rsidR="00C410B5" w:rsidRPr="00A34FB3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af-ZA" w:eastAsia="ru-RU"/>
        </w:rPr>
      </w:pPr>
    </w:p>
    <w:sectPr w:rsidR="00C410B5" w:rsidRPr="00A34FB3" w:rsidSect="002C29D5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4FE" w:rsidRDefault="00CD04FE" w:rsidP="0022631D">
      <w:pPr>
        <w:spacing w:before="0" w:after="0"/>
      </w:pPr>
      <w:r>
        <w:separator/>
      </w:r>
    </w:p>
  </w:endnote>
  <w:endnote w:type="continuationSeparator" w:id="0">
    <w:p w:rsidR="00CD04FE" w:rsidRDefault="00CD04F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4FE" w:rsidRDefault="00CD04FE" w:rsidP="0022631D">
      <w:pPr>
        <w:spacing w:before="0" w:after="0"/>
      </w:pPr>
      <w:r>
        <w:separator/>
      </w:r>
    </w:p>
  </w:footnote>
  <w:footnote w:type="continuationSeparator" w:id="0">
    <w:p w:rsidR="00CD04FE" w:rsidRDefault="00CD04FE" w:rsidP="0022631D">
      <w:pPr>
        <w:spacing w:before="0" w:after="0"/>
      </w:pPr>
      <w:r>
        <w:continuationSeparator/>
      </w:r>
    </w:p>
  </w:footnote>
  <w:footnote w:id="1">
    <w:p w:rsidR="00FE1AA0" w:rsidRPr="00F65380" w:rsidRDefault="00FE1AA0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65380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F65380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AA0" w:rsidRPr="002D0BF6" w:rsidRDefault="00FE1A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0211" w:rsidRPr="002D0BF6" w:rsidRDefault="0094021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40211" w:rsidRPr="002D0BF6" w:rsidRDefault="0094021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40211" w:rsidRPr="00871366" w:rsidRDefault="0094021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40211" w:rsidRPr="002D0BF6" w:rsidRDefault="0094021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40211" w:rsidRPr="0078682E" w:rsidRDefault="0094021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40211" w:rsidRPr="0078682E" w:rsidRDefault="0094021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40211" w:rsidRPr="00005B9C" w:rsidRDefault="0094021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A3F"/>
    <w:rsid w:val="00044EA8"/>
    <w:rsid w:val="00046CCF"/>
    <w:rsid w:val="00051ECE"/>
    <w:rsid w:val="0007090E"/>
    <w:rsid w:val="00073D66"/>
    <w:rsid w:val="000A18F4"/>
    <w:rsid w:val="000B0199"/>
    <w:rsid w:val="000E4FF1"/>
    <w:rsid w:val="000F376D"/>
    <w:rsid w:val="001021B0"/>
    <w:rsid w:val="0012143A"/>
    <w:rsid w:val="00172972"/>
    <w:rsid w:val="0018422F"/>
    <w:rsid w:val="001A1999"/>
    <w:rsid w:val="001C1BE1"/>
    <w:rsid w:val="001E0091"/>
    <w:rsid w:val="0021652B"/>
    <w:rsid w:val="0022631D"/>
    <w:rsid w:val="002311D2"/>
    <w:rsid w:val="00295B92"/>
    <w:rsid w:val="002C29D5"/>
    <w:rsid w:val="002E4E6F"/>
    <w:rsid w:val="002F16CC"/>
    <w:rsid w:val="002F1FEB"/>
    <w:rsid w:val="003406CB"/>
    <w:rsid w:val="00346331"/>
    <w:rsid w:val="003475F8"/>
    <w:rsid w:val="00371B1D"/>
    <w:rsid w:val="00383083"/>
    <w:rsid w:val="00385E41"/>
    <w:rsid w:val="003B2758"/>
    <w:rsid w:val="003E0DCA"/>
    <w:rsid w:val="003E3D40"/>
    <w:rsid w:val="003E6978"/>
    <w:rsid w:val="00433E3C"/>
    <w:rsid w:val="00472069"/>
    <w:rsid w:val="00473092"/>
    <w:rsid w:val="00474C2F"/>
    <w:rsid w:val="004764CD"/>
    <w:rsid w:val="004875E0"/>
    <w:rsid w:val="004B7BB6"/>
    <w:rsid w:val="004D078F"/>
    <w:rsid w:val="004E376E"/>
    <w:rsid w:val="004E7550"/>
    <w:rsid w:val="004F450D"/>
    <w:rsid w:val="004F4909"/>
    <w:rsid w:val="00503BCC"/>
    <w:rsid w:val="00546023"/>
    <w:rsid w:val="005733F5"/>
    <w:rsid w:val="005737F9"/>
    <w:rsid w:val="005966AD"/>
    <w:rsid w:val="005D5FBD"/>
    <w:rsid w:val="005E60C8"/>
    <w:rsid w:val="005F2657"/>
    <w:rsid w:val="00607C9A"/>
    <w:rsid w:val="00607E33"/>
    <w:rsid w:val="00646760"/>
    <w:rsid w:val="0066251B"/>
    <w:rsid w:val="00670FC8"/>
    <w:rsid w:val="00686F11"/>
    <w:rsid w:val="00690ECB"/>
    <w:rsid w:val="006A38B4"/>
    <w:rsid w:val="006B2E21"/>
    <w:rsid w:val="006B6F30"/>
    <w:rsid w:val="006C0266"/>
    <w:rsid w:val="006E0D92"/>
    <w:rsid w:val="006E1A83"/>
    <w:rsid w:val="006F2779"/>
    <w:rsid w:val="007060FC"/>
    <w:rsid w:val="0073518F"/>
    <w:rsid w:val="00742BDA"/>
    <w:rsid w:val="00770463"/>
    <w:rsid w:val="007732E7"/>
    <w:rsid w:val="0078682E"/>
    <w:rsid w:val="0081420B"/>
    <w:rsid w:val="00817777"/>
    <w:rsid w:val="008A7224"/>
    <w:rsid w:val="008C4E62"/>
    <w:rsid w:val="008C7D47"/>
    <w:rsid w:val="008E493A"/>
    <w:rsid w:val="00940211"/>
    <w:rsid w:val="00953737"/>
    <w:rsid w:val="0095792C"/>
    <w:rsid w:val="009820D5"/>
    <w:rsid w:val="009C5E0F"/>
    <w:rsid w:val="009E75FF"/>
    <w:rsid w:val="00A20545"/>
    <w:rsid w:val="00A306F5"/>
    <w:rsid w:val="00A31820"/>
    <w:rsid w:val="00A34FB3"/>
    <w:rsid w:val="00A560FC"/>
    <w:rsid w:val="00A81CC9"/>
    <w:rsid w:val="00AA32E4"/>
    <w:rsid w:val="00AC289D"/>
    <w:rsid w:val="00AD07B9"/>
    <w:rsid w:val="00AD59DC"/>
    <w:rsid w:val="00B01B33"/>
    <w:rsid w:val="00B75762"/>
    <w:rsid w:val="00B805DC"/>
    <w:rsid w:val="00B86D56"/>
    <w:rsid w:val="00B91DE2"/>
    <w:rsid w:val="00B94EA2"/>
    <w:rsid w:val="00BA03B0"/>
    <w:rsid w:val="00BB0A93"/>
    <w:rsid w:val="00BB65C5"/>
    <w:rsid w:val="00BD3D4E"/>
    <w:rsid w:val="00BF1465"/>
    <w:rsid w:val="00BF4745"/>
    <w:rsid w:val="00C00C60"/>
    <w:rsid w:val="00C040B8"/>
    <w:rsid w:val="00C245D1"/>
    <w:rsid w:val="00C2463C"/>
    <w:rsid w:val="00C410B5"/>
    <w:rsid w:val="00C71CFE"/>
    <w:rsid w:val="00C72834"/>
    <w:rsid w:val="00C84DF7"/>
    <w:rsid w:val="00C91E1D"/>
    <w:rsid w:val="00C96337"/>
    <w:rsid w:val="00C96BED"/>
    <w:rsid w:val="00CB44D2"/>
    <w:rsid w:val="00CC1F23"/>
    <w:rsid w:val="00CD04FE"/>
    <w:rsid w:val="00CF1F70"/>
    <w:rsid w:val="00D350DE"/>
    <w:rsid w:val="00D36189"/>
    <w:rsid w:val="00D36BFE"/>
    <w:rsid w:val="00D41F76"/>
    <w:rsid w:val="00D80C64"/>
    <w:rsid w:val="00DD2C1D"/>
    <w:rsid w:val="00DE06F1"/>
    <w:rsid w:val="00DE7D4E"/>
    <w:rsid w:val="00E243EA"/>
    <w:rsid w:val="00E33A25"/>
    <w:rsid w:val="00E4188B"/>
    <w:rsid w:val="00E54C4D"/>
    <w:rsid w:val="00E56328"/>
    <w:rsid w:val="00E73BAA"/>
    <w:rsid w:val="00EA01A2"/>
    <w:rsid w:val="00EA568C"/>
    <w:rsid w:val="00EA767F"/>
    <w:rsid w:val="00EB59EE"/>
    <w:rsid w:val="00EE3AE4"/>
    <w:rsid w:val="00EF16D0"/>
    <w:rsid w:val="00F10AFE"/>
    <w:rsid w:val="00F31004"/>
    <w:rsid w:val="00F431E7"/>
    <w:rsid w:val="00F64167"/>
    <w:rsid w:val="00F65380"/>
    <w:rsid w:val="00F6673B"/>
    <w:rsid w:val="00F70F22"/>
    <w:rsid w:val="00F77AAD"/>
    <w:rsid w:val="00F916C4"/>
    <w:rsid w:val="00FB097B"/>
    <w:rsid w:val="00FB2764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0C72"/>
  <w15:docId w15:val="{1803E272-10D7-438B-BA90-13B7F6A0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Normal (Web)"/>
    <w:basedOn w:val="a"/>
    <w:rsid w:val="00BB65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43C2-9C52-437D-AF8E-AB55A582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19</cp:revision>
  <cp:lastPrinted>2021-04-06T07:47:00Z</cp:lastPrinted>
  <dcterms:created xsi:type="dcterms:W3CDTF">2021-06-28T12:08:00Z</dcterms:created>
  <dcterms:modified xsi:type="dcterms:W3CDTF">2025-10-28T13:33:00Z</dcterms:modified>
</cp:coreProperties>
</file>