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401F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ОБЪЯВЛЕНИЕ</w:t>
      </w:r>
    </w:p>
    <w:p w:rsidR="00DE1183" w:rsidRPr="00D0401F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 заключенном договоре</w:t>
      </w:r>
    </w:p>
    <w:p w:rsidR="005461BC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Pr="00D0401F">
        <w:rPr>
          <w:rFonts w:ascii="GHEA Grapalat" w:hAnsi="GHEA Grapalat"/>
          <w:sz w:val="20"/>
        </w:rPr>
        <w:t>Единая социальная служба, находящийся по адресу: г. Ереван, Налбандяна 13</w:t>
      </w:r>
      <w:r w:rsidR="005461BC" w:rsidRPr="00D0401F">
        <w:rPr>
          <w:rFonts w:ascii="GHEA Grapalat" w:hAnsi="GHEA Grapalat"/>
          <w:sz w:val="20"/>
        </w:rPr>
        <w:t xml:space="preserve"> ниже представляет информацию о заключенном </w:t>
      </w:r>
      <w:r w:rsidR="002126AE" w:rsidRPr="00D0401F">
        <w:rPr>
          <w:rFonts w:ascii="GHEA Grapalat" w:hAnsi="GHEA Grapalat"/>
          <w:sz w:val="20"/>
        </w:rPr>
        <w:t>договоре</w:t>
      </w:r>
      <w:r w:rsidR="005461BC" w:rsidRPr="00D0401F">
        <w:rPr>
          <w:rFonts w:ascii="GHEA Grapalat" w:hAnsi="GHEA Grapalat"/>
          <w:sz w:val="20"/>
        </w:rPr>
        <w:t xml:space="preserve"> </w:t>
      </w:r>
      <w:r w:rsidR="008F4088" w:rsidRPr="00D0401F">
        <w:rPr>
          <w:rFonts w:ascii="GHEA Grapalat" w:hAnsi="GHEA Grapalat"/>
          <w:sz w:val="20"/>
        </w:rPr>
        <w:t xml:space="preserve">в результате </w:t>
      </w:r>
      <w:r w:rsidR="008F36E5" w:rsidRPr="00D0401F">
        <w:rPr>
          <w:rFonts w:ascii="GHEA Grapalat" w:hAnsi="GHEA Grapalat"/>
          <w:sz w:val="20"/>
        </w:rPr>
        <w:t xml:space="preserve">процедуры </w:t>
      </w:r>
      <w:r w:rsidR="00D57E3F" w:rsidRPr="00D0401F">
        <w:rPr>
          <w:rFonts w:ascii="GHEA Grapalat" w:hAnsi="GHEA Grapalat"/>
          <w:sz w:val="20"/>
        </w:rPr>
        <w:t>закупки</w:t>
      </w:r>
      <w:r w:rsidR="00D57E3F" w:rsidRPr="00D57E3F">
        <w:rPr>
          <w:rFonts w:ascii="GHEA Grapalat" w:hAnsi="GHEA Grapalat"/>
          <w:sz w:val="20"/>
        </w:rPr>
        <w:t xml:space="preserve"> по коду ՄՍԾ ՄԱԾՁԲ-2</w:t>
      </w:r>
      <w:r w:rsidR="003140A5">
        <w:rPr>
          <w:rFonts w:ascii="GHEA Grapalat" w:hAnsi="GHEA Grapalat"/>
          <w:sz w:val="20"/>
          <w:lang w:val="en-US"/>
        </w:rPr>
        <w:t>6</w:t>
      </w:r>
      <w:r w:rsidR="00D57E3F" w:rsidRPr="00D57E3F">
        <w:rPr>
          <w:rFonts w:ascii="GHEA Grapalat" w:hAnsi="GHEA Grapalat"/>
          <w:sz w:val="20"/>
        </w:rPr>
        <w:t>/</w:t>
      </w:r>
      <w:r w:rsidR="003140A5">
        <w:rPr>
          <w:rFonts w:ascii="GHEA Grapalat" w:hAnsi="GHEA Grapalat"/>
          <w:sz w:val="20"/>
          <w:lang w:val="en-US"/>
        </w:rPr>
        <w:t>1</w:t>
      </w:r>
      <w:r w:rsidR="00AF30EB">
        <w:rPr>
          <w:rFonts w:ascii="GHEA Grapalat" w:hAnsi="GHEA Grapalat"/>
          <w:sz w:val="20"/>
          <w:lang w:val="en-US"/>
        </w:rPr>
        <w:t xml:space="preserve"> </w:t>
      </w:r>
      <w:r w:rsidR="00620A72" w:rsidRPr="00D0401F">
        <w:rPr>
          <w:rFonts w:ascii="GHEA Grapalat" w:hAnsi="GHEA Grapalat"/>
          <w:sz w:val="20"/>
        </w:rPr>
        <w:t>с целью приобретения</w:t>
      </w:r>
      <w:r w:rsidR="005461BC" w:rsidRPr="00D0401F">
        <w:rPr>
          <w:rFonts w:ascii="GHEA Grapalat" w:hAnsi="GHEA Grapalat"/>
          <w:sz w:val="20"/>
        </w:rPr>
        <w:t xml:space="preserve"> </w:t>
      </w:r>
      <w:r w:rsidR="00AD48CE" w:rsidRPr="00E535D1">
        <w:rPr>
          <w:rFonts w:ascii="GHEA Grapalat" w:hAnsi="GHEA Grapalat"/>
          <w:sz w:val="20"/>
        </w:rPr>
        <w:t>у</w:t>
      </w:r>
      <w:r w:rsidR="00865A07" w:rsidRPr="00865A07">
        <w:rPr>
          <w:rFonts w:ascii="GHEA Grapalat" w:hAnsi="GHEA Grapalat" w:hint="eastAsia"/>
          <w:sz w:val="20"/>
        </w:rPr>
        <w:t>слуги</w:t>
      </w:r>
      <w:r w:rsidR="00865A07" w:rsidRPr="00865A07">
        <w:rPr>
          <w:rFonts w:ascii="GHEA Grapalat" w:hAnsi="GHEA Grapalat"/>
          <w:sz w:val="20"/>
        </w:rPr>
        <w:t xml:space="preserve"> </w:t>
      </w:r>
      <w:r w:rsidR="00865A07" w:rsidRPr="00865A07">
        <w:rPr>
          <w:rFonts w:ascii="GHEA Grapalat" w:hAnsi="GHEA Grapalat" w:hint="eastAsia"/>
          <w:sz w:val="20"/>
        </w:rPr>
        <w:t>по</w:t>
      </w:r>
      <w:r w:rsidR="00865A07" w:rsidRPr="00865A07">
        <w:rPr>
          <w:rFonts w:ascii="GHEA Grapalat" w:hAnsi="GHEA Grapalat"/>
          <w:sz w:val="20"/>
        </w:rPr>
        <w:t xml:space="preserve"> </w:t>
      </w:r>
      <w:r w:rsidR="00865A07" w:rsidRPr="00865A07">
        <w:rPr>
          <w:rFonts w:ascii="GHEA Grapalat" w:hAnsi="GHEA Grapalat" w:hint="eastAsia"/>
          <w:sz w:val="20"/>
        </w:rPr>
        <w:t>обслуживанию</w:t>
      </w:r>
      <w:r w:rsidR="00865A07" w:rsidRPr="00865A07">
        <w:rPr>
          <w:rFonts w:ascii="GHEA Grapalat" w:hAnsi="GHEA Grapalat"/>
          <w:sz w:val="20"/>
        </w:rPr>
        <w:t xml:space="preserve"> </w:t>
      </w:r>
      <w:r w:rsidR="00865A07" w:rsidRPr="00865A07">
        <w:rPr>
          <w:rFonts w:ascii="GHEA Grapalat" w:hAnsi="GHEA Grapalat" w:hint="eastAsia"/>
          <w:sz w:val="20"/>
        </w:rPr>
        <w:t>программного</w:t>
      </w:r>
      <w:r w:rsidR="00865A07" w:rsidRPr="00865A07">
        <w:rPr>
          <w:rFonts w:ascii="GHEA Grapalat" w:hAnsi="GHEA Grapalat"/>
          <w:sz w:val="20"/>
        </w:rPr>
        <w:t xml:space="preserve"> </w:t>
      </w:r>
      <w:r w:rsidR="00865A07" w:rsidRPr="00865A07">
        <w:rPr>
          <w:rFonts w:ascii="GHEA Grapalat" w:hAnsi="GHEA Grapalat" w:hint="eastAsia"/>
          <w:sz w:val="20"/>
        </w:rPr>
        <w:t>обеспечения</w:t>
      </w:r>
      <w:r w:rsidR="00865A07" w:rsidRPr="00D0401F">
        <w:rPr>
          <w:rFonts w:ascii="GHEA Grapalat" w:hAnsi="GHEA Grapalat"/>
          <w:sz w:val="20"/>
        </w:rPr>
        <w:t xml:space="preserve"> </w:t>
      </w:r>
      <w:r w:rsidR="006840B6" w:rsidRPr="00D0401F">
        <w:rPr>
          <w:rFonts w:ascii="GHEA Grapalat" w:hAnsi="GHEA Grapalat"/>
          <w:sz w:val="20"/>
        </w:rPr>
        <w:t>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5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802"/>
        <w:gridCol w:w="697"/>
        <w:gridCol w:w="490"/>
        <w:gridCol w:w="241"/>
        <w:gridCol w:w="95"/>
        <w:gridCol w:w="161"/>
        <w:gridCol w:w="49"/>
        <w:gridCol w:w="124"/>
        <w:gridCol w:w="544"/>
        <w:gridCol w:w="113"/>
        <w:gridCol w:w="697"/>
        <w:gridCol w:w="409"/>
        <w:gridCol w:w="37"/>
        <w:gridCol w:w="686"/>
        <w:gridCol w:w="187"/>
        <w:gridCol w:w="837"/>
        <w:gridCol w:w="184"/>
        <w:gridCol w:w="720"/>
        <w:gridCol w:w="720"/>
        <w:gridCol w:w="1170"/>
        <w:gridCol w:w="809"/>
        <w:gridCol w:w="94"/>
        <w:gridCol w:w="3510"/>
      </w:tblGrid>
      <w:tr w:rsidR="005461BC" w:rsidRPr="00395B6E" w:rsidTr="00F23557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4" w:type="dxa"/>
            <w:gridSpan w:val="2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23557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03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60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23557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03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23557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0A5" w:rsidRPr="00187A90" w:rsidTr="00C74D1D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140A5" w:rsidRPr="00395B6E" w:rsidRDefault="003140A5" w:rsidP="00667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A86FF8" w:rsidRDefault="003140A5" w:rsidP="0066748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865A07">
              <w:rPr>
                <w:rFonts w:ascii="GHEA Grapalat" w:hAnsi="GHEA Grapalat" w:hint="eastAsia"/>
                <w:sz w:val="16"/>
              </w:rPr>
              <w:t>Услуги</w:t>
            </w:r>
            <w:r w:rsidRPr="00865A07">
              <w:rPr>
                <w:rFonts w:ascii="GHEA Grapalat" w:hAnsi="GHEA Grapalat"/>
                <w:sz w:val="16"/>
              </w:rPr>
              <w:t xml:space="preserve"> </w:t>
            </w:r>
            <w:r w:rsidRPr="00865A07">
              <w:rPr>
                <w:rFonts w:ascii="GHEA Grapalat" w:hAnsi="GHEA Grapalat" w:hint="eastAsia"/>
                <w:sz w:val="16"/>
              </w:rPr>
              <w:t>по</w:t>
            </w:r>
            <w:r w:rsidRPr="00865A07">
              <w:rPr>
                <w:rFonts w:ascii="GHEA Grapalat" w:hAnsi="GHEA Grapalat"/>
                <w:sz w:val="16"/>
              </w:rPr>
              <w:t xml:space="preserve"> </w:t>
            </w:r>
            <w:r w:rsidRPr="00865A07">
              <w:rPr>
                <w:rFonts w:ascii="GHEA Grapalat" w:hAnsi="GHEA Grapalat" w:hint="eastAsia"/>
                <w:sz w:val="16"/>
              </w:rPr>
              <w:t>обслуживанию</w:t>
            </w:r>
            <w:r w:rsidRPr="00865A07">
              <w:rPr>
                <w:rFonts w:ascii="GHEA Grapalat" w:hAnsi="GHEA Grapalat"/>
                <w:sz w:val="16"/>
              </w:rPr>
              <w:t xml:space="preserve"> </w:t>
            </w:r>
            <w:r w:rsidRPr="00865A07">
              <w:rPr>
                <w:rFonts w:ascii="GHEA Grapalat" w:hAnsi="GHEA Grapalat" w:hint="eastAsia"/>
                <w:sz w:val="16"/>
              </w:rPr>
              <w:t>программного</w:t>
            </w:r>
            <w:r w:rsidRPr="00865A07">
              <w:rPr>
                <w:rFonts w:ascii="GHEA Grapalat" w:hAnsi="GHEA Grapalat"/>
                <w:sz w:val="16"/>
              </w:rPr>
              <w:t xml:space="preserve"> </w:t>
            </w:r>
            <w:r w:rsidRPr="00865A07">
              <w:rPr>
                <w:rFonts w:ascii="GHEA Grapalat" w:hAnsi="GHEA Grapalat" w:hint="eastAsia"/>
                <w:sz w:val="16"/>
              </w:rPr>
              <w:t>обеспечения</w:t>
            </w:r>
            <w:r w:rsidR="00A86FF8" w:rsidRPr="00A86FF8">
              <w:rPr>
                <w:rFonts w:ascii="GHEA Grapalat" w:hAnsi="GHEA Grapalat"/>
                <w:sz w:val="16"/>
              </w:rPr>
              <w:t xml:space="preserve"> </w:t>
            </w:r>
            <w:r w:rsidR="00A86FF8" w:rsidRPr="00A86FF8">
              <w:rPr>
                <w:rFonts w:ascii="GHEA Grapalat" w:hAnsi="GHEA Grapalat"/>
                <w:sz w:val="16"/>
              </w:rPr>
              <w:t>(«ՀԾ-Ձեռնարկություն» համակարգ)</w:t>
            </w:r>
            <w:bookmarkStart w:id="0" w:name="_GoBack"/>
            <w:bookmarkEnd w:id="0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F76FFD" w:rsidRDefault="003140A5" w:rsidP="0066748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proofErr w:type="spellStart"/>
            <w:r w:rsidRPr="00F76FFD">
              <w:rPr>
                <w:rFonts w:ascii="GHEA Grapalat" w:hAnsi="GHEA Grapalat"/>
                <w:b/>
                <w:sz w:val="16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F76FFD" w:rsidRDefault="003140A5" w:rsidP="006674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F76FFD"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F76FFD" w:rsidRDefault="003140A5" w:rsidP="006674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F76FFD"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D218AF" w:rsidRDefault="003140A5" w:rsidP="00EB661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9579600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D218AF" w:rsidRDefault="003140A5" w:rsidP="00EB661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9579600</w:t>
            </w:r>
          </w:p>
        </w:tc>
        <w:tc>
          <w:tcPr>
            <w:tcW w:w="3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5A1D26" w:rsidRDefault="003140A5" w:rsidP="00EB6616">
            <w:pPr>
              <w:shd w:val="clear" w:color="auto" w:fill="FFFFFF"/>
              <w:ind w:left="162" w:hanging="162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>«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ՀԾ-Ձեռնարկություն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>»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համակարգի սպասարկում 2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6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քսան</w:t>
            </w:r>
            <w:proofErr w:type="spellStart"/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վեց</w:t>
            </w:r>
            <w:proofErr w:type="spellEnd"/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օգտագործման լիցենզիայի համար `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1. 1-ին տվյալների բազա հետևյալ ենթահամակարգերով`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Հաշվապահություն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Հիմնական</w:t>
            </w:r>
            <w:r w:rsidRPr="005A1D26">
              <w:rPr>
                <w:rFonts w:cs="Calibri"/>
                <w:color w:val="000000"/>
                <w:sz w:val="14"/>
                <w:szCs w:val="16"/>
                <w:lang w:val="hy-AM"/>
              </w:rPr>
              <w:t> 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միջոցներ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Ապրանքանյութական</w:t>
            </w:r>
            <w:r w:rsidRPr="005A1D26">
              <w:rPr>
                <w:rFonts w:cs="Calibri"/>
                <w:color w:val="000000"/>
                <w:sz w:val="14"/>
                <w:szCs w:val="16"/>
                <w:lang w:val="hy-AM"/>
              </w:rPr>
              <w:t> 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արժեքներ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Աշխատավարձ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Կադրեր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Պատվերներ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2. 2-րդ տվյալների բազա հետևյալ ենթահամակարգերով`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Աշխատավարձ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Կադրեր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rPr>
                <w:color w:val="000000"/>
                <w:sz w:val="14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Սպասարկումը ներառում է`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ընթացիկ շահագործման հետ կապված խորհրդատվություն: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լրամշակում և զարգացում կապված օրենսդրության փոփոխման հետ: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նոր ֆունկցիոնալ հնարավորությունների մշակում: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համապատասխանեցում նոր տեխնիկական և ծրագրային ապահովման պահանջներին: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ind w:left="162" w:hanging="162"/>
              <w:contextualSpacing w:val="0"/>
              <w:rPr>
                <w:rFonts w:ascii="GHEA Grapalat" w:hAnsi="GHEA Grapalat"/>
                <w:sz w:val="14"/>
                <w:szCs w:val="15"/>
                <w:lang w:val="af-ZA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lastRenderedPageBreak/>
              <w:t>Խորհրդատվություններ ավտոմատացման գործընթացի կազմակերպման, համակարգչային տեխնիկայի և ծրագրային համակարգերի հետ կապված հարցերի վերաբերյալ:</w:t>
            </w:r>
          </w:p>
        </w:tc>
        <w:tc>
          <w:tcPr>
            <w:tcW w:w="36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0A5" w:rsidRPr="005A1D26" w:rsidRDefault="003140A5" w:rsidP="00EB6616">
            <w:pPr>
              <w:shd w:val="clear" w:color="auto" w:fill="FFFFFF"/>
              <w:ind w:left="162" w:hanging="162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lastRenderedPageBreak/>
              <w:t>«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ՀԾ-Ձեռնարկություն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af-ZA"/>
              </w:rPr>
              <w:t>»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համակարգի սպասարկում 2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6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քսան</w:t>
            </w:r>
            <w:proofErr w:type="spellStart"/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վեց</w:t>
            </w:r>
            <w:proofErr w:type="spellEnd"/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/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օգտագործման լիցենզիայի համար `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1. 1-ին տվյալների բազա հետևյալ ենթահամակարգերով`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Հաշվապահություն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Հիմնական</w:t>
            </w:r>
            <w:r w:rsidRPr="005A1D26">
              <w:rPr>
                <w:rFonts w:cs="Calibri"/>
                <w:color w:val="000000"/>
                <w:sz w:val="14"/>
                <w:szCs w:val="16"/>
                <w:lang w:val="hy-AM"/>
              </w:rPr>
              <w:t> 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միջոցներ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Ապրանքանյութական</w:t>
            </w:r>
            <w:r w:rsidRPr="005A1D26">
              <w:rPr>
                <w:rFonts w:cs="Calibri"/>
                <w:color w:val="000000"/>
                <w:sz w:val="14"/>
                <w:szCs w:val="16"/>
                <w:lang w:val="hy-AM"/>
              </w:rPr>
              <w:t> </w:t>
            </w: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արժեքներ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Աշխատավարձ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Կադրեր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Պատվերներ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2. 2-րդ տվյալների բազա հետևյալ ենթահամակարգերով`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Աշխատավարձ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62" w:hanging="162"/>
              <w:contextualSpacing w:val="0"/>
              <w:jc w:val="both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Կադրեր</w:t>
            </w:r>
          </w:p>
          <w:p w:rsidR="003140A5" w:rsidRPr="005A1D26" w:rsidRDefault="003140A5" w:rsidP="00EB6616">
            <w:pPr>
              <w:shd w:val="clear" w:color="auto" w:fill="FFFFFF"/>
              <w:ind w:left="162" w:hanging="162"/>
              <w:rPr>
                <w:color w:val="000000"/>
                <w:sz w:val="14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Սպասարկումը ներառում է`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ընթացիկ շահագործման հետ կապված խորհրդատվություն: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լրամշակում և զարգացում կապված օրենսդրության փոփոխման հետ: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նոր ֆունկցիոնալ հնարավորությունների մշակում:</w:t>
            </w:r>
          </w:p>
          <w:p w:rsidR="003140A5" w:rsidRPr="005A1D26" w:rsidRDefault="003140A5" w:rsidP="003140A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162" w:hanging="162"/>
              <w:contextualSpacing w:val="0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Համակարգի համապատասխանեցում նոր տեխնիկական և ծրագրային ապահովման պահանջներին:</w:t>
            </w:r>
          </w:p>
          <w:p w:rsidR="003140A5" w:rsidRPr="00D672EF" w:rsidRDefault="003140A5" w:rsidP="003140A5">
            <w:pPr>
              <w:pStyle w:val="ListParagraph"/>
              <w:numPr>
                <w:ilvl w:val="0"/>
                <w:numId w:val="46"/>
              </w:numPr>
              <w:ind w:left="162" w:hanging="162"/>
              <w:contextualSpacing w:val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A1D26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lastRenderedPageBreak/>
              <w:t>Խորհրդատվություններ ավտոմատացման գործընթացի կազմակերպման, համակարգչային տեխնիկայի և ծրագրային համակարգերի հետ կապված հարցերի վերաբերյալ:</w:t>
            </w:r>
          </w:p>
        </w:tc>
      </w:tr>
      <w:tr w:rsidR="009F3B02" w:rsidRPr="00187A90" w:rsidTr="00F23557">
        <w:trPr>
          <w:trHeight w:val="169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9F3B02" w:rsidRPr="00D57E3F" w:rsidRDefault="009F3B0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D48CE" w:rsidRPr="00395B6E" w:rsidTr="00F23557">
        <w:trPr>
          <w:trHeight w:val="137"/>
          <w:jc w:val="center"/>
        </w:trPr>
        <w:tc>
          <w:tcPr>
            <w:tcW w:w="4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8CE" w:rsidRPr="00395B6E" w:rsidRDefault="00AD48CE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8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8CE" w:rsidRPr="000E4412" w:rsidRDefault="00AD48CE" w:rsidP="00621DE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E789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Գնումների մասին ՀՀ օրենքի 23-րդ հոդվածի 1-ին մասի 1-ին կետ, ՀՀ կառավարության 04.05.2017թ թիվ 526-Ն որոշման հավելված 1-ի </w:t>
            </w:r>
            <w:r w:rsidRPr="00A33B01">
              <w:rPr>
                <w:rFonts w:ascii="GHEA Grapalat" w:hAnsi="GHEA Grapalat" w:cs="Arial"/>
                <w:sz w:val="16"/>
                <w:szCs w:val="16"/>
                <w:lang w:val="hy-AM"/>
              </w:rPr>
              <w:t>23-րդ կետի 4-րդ կետով հաստատված ցանցկի 4-րդ ենթակետ</w:t>
            </w: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6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3B02" w:rsidRPr="00395B6E" w:rsidRDefault="009F3B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23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3B02" w:rsidRPr="00D57E3F" w:rsidRDefault="00AF30EB" w:rsidP="003140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140A5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/01/202</w:t>
            </w:r>
            <w:r w:rsidR="003140A5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9F3B0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2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B02" w:rsidRPr="00395B6E" w:rsidRDefault="009F3B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2" w:rsidRPr="00395B6E" w:rsidTr="00F23557">
        <w:trPr>
          <w:trHeight w:val="54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2" w:rsidRPr="00395B6E" w:rsidTr="00F23557">
        <w:trPr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10"/>
            <w:vMerge w:val="restart"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717" w:type="dxa"/>
            <w:gridSpan w:val="15"/>
            <w:shd w:val="clear" w:color="auto" w:fill="auto"/>
            <w:vAlign w:val="center"/>
          </w:tcPr>
          <w:p w:rsidR="009F3B02" w:rsidRPr="00D0401F" w:rsidRDefault="009F3B02" w:rsidP="009F3B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F3B02" w:rsidRPr="00395B6E" w:rsidTr="00F23557">
        <w:trPr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10"/>
            <w:vMerge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413" w:type="dxa"/>
            <w:gridSpan w:val="3"/>
            <w:shd w:val="clear" w:color="auto" w:fill="auto"/>
            <w:vAlign w:val="center"/>
          </w:tcPr>
          <w:p w:rsidR="009F3B02" w:rsidRPr="00395B6E" w:rsidRDefault="009F3B0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3B02" w:rsidRPr="00395B6E" w:rsidTr="00D722AD">
        <w:trPr>
          <w:trHeight w:val="205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9F3B02" w:rsidRPr="00395B6E" w:rsidRDefault="009F3B0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20" w:type="dxa"/>
            <w:gridSpan w:val="25"/>
            <w:shd w:val="clear" w:color="auto" w:fill="auto"/>
            <w:vAlign w:val="center"/>
          </w:tcPr>
          <w:p w:rsidR="009F3B02" w:rsidRPr="00395B6E" w:rsidRDefault="009F3B0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40A5" w:rsidRPr="00395B6E" w:rsidTr="00F23557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3140A5" w:rsidRPr="00395B6E" w:rsidRDefault="003140A5" w:rsidP="00667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0"/>
            <w:shd w:val="clear" w:color="auto" w:fill="auto"/>
            <w:vAlign w:val="center"/>
          </w:tcPr>
          <w:p w:rsidR="003140A5" w:rsidRPr="00845329" w:rsidRDefault="003140A5" w:rsidP="006674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en-US"/>
              </w:rPr>
              <w:t xml:space="preserve">ООО 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845329">
              <w:rPr>
                <w:rFonts w:ascii="GHEA Grapalat" w:hAnsi="GHEA Grapalat" w:cs="Cambria Math"/>
                <w:sz w:val="16"/>
                <w:lang w:val="hy-AM"/>
              </w:rPr>
              <w:t>ՀԱՅԿԱԿԱՆ ԾՐԱԳՐԵՐ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 xml:space="preserve">» 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3140A5" w:rsidRPr="00783AC4" w:rsidRDefault="003140A5" w:rsidP="00EB66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7983000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3140A5" w:rsidRPr="00783AC4" w:rsidRDefault="003140A5" w:rsidP="00EB66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1596600</w:t>
            </w:r>
          </w:p>
        </w:tc>
        <w:tc>
          <w:tcPr>
            <w:tcW w:w="4413" w:type="dxa"/>
            <w:gridSpan w:val="3"/>
            <w:shd w:val="clear" w:color="auto" w:fill="auto"/>
            <w:vAlign w:val="center"/>
          </w:tcPr>
          <w:p w:rsidR="003140A5" w:rsidRPr="00783AC4" w:rsidRDefault="003140A5" w:rsidP="00EB66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9579600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jc w:val="center"/>
        </w:trPr>
        <w:tc>
          <w:tcPr>
            <w:tcW w:w="156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5A07" w:rsidRPr="00395B6E" w:rsidTr="00F2355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3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5A07" w:rsidRPr="00395B6E" w:rsidTr="00F23557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AC1E22" w:rsidRDefault="00865A07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65A07" w:rsidRPr="00371D38" w:rsidRDefault="00865A07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65A07" w:rsidRPr="00395B6E" w:rsidRDefault="00865A0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D0401F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5A07" w:rsidRPr="00395B6E" w:rsidTr="00F23557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6B3E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344"/>
          <w:jc w:val="center"/>
        </w:trPr>
        <w:tc>
          <w:tcPr>
            <w:tcW w:w="3038" w:type="dxa"/>
            <w:gridSpan w:val="6"/>
            <w:vMerge w:val="restart"/>
            <w:shd w:val="clear" w:color="auto" w:fill="auto"/>
            <w:vAlign w:val="center"/>
          </w:tcPr>
          <w:p w:rsidR="00865A07" w:rsidRPr="00395B6E" w:rsidRDefault="00865A0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5A07" w:rsidRPr="00395B6E" w:rsidTr="00F23557">
        <w:trPr>
          <w:trHeight w:val="197"/>
          <w:jc w:val="center"/>
        </w:trPr>
        <w:tc>
          <w:tcPr>
            <w:tcW w:w="30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129"/>
          <w:jc w:val="center"/>
        </w:trPr>
        <w:tc>
          <w:tcPr>
            <w:tcW w:w="156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A07" w:rsidRPr="00395B6E" w:rsidRDefault="00865A0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EB" w:rsidRPr="00395B6E" w:rsidTr="00F23557">
        <w:trPr>
          <w:trHeight w:val="346"/>
          <w:jc w:val="center"/>
        </w:trPr>
        <w:tc>
          <w:tcPr>
            <w:tcW w:w="54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395B6E" w:rsidRDefault="00AF30E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AF30EB" w:rsidRDefault="00AF30EB" w:rsidP="003140A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21</w:t>
            </w:r>
            <w:r w:rsidRPr="00572B42">
              <w:rPr>
                <w:rFonts w:ascii="GHEA Grapalat" w:hAnsi="GHEA Grapalat" w:cs="Sylfaen"/>
                <w:b/>
                <w:sz w:val="16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01</w:t>
            </w:r>
            <w:r w:rsidRPr="00572B42">
              <w:rPr>
                <w:rFonts w:ascii="GHEA Grapalat" w:hAnsi="GHEA Grapalat" w:cs="Sylfaen"/>
                <w:b/>
                <w:sz w:val="16"/>
                <w:szCs w:val="14"/>
              </w:rPr>
              <w:t>/202</w:t>
            </w:r>
            <w:r w:rsidR="003140A5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г</w:t>
            </w:r>
          </w:p>
        </w:tc>
      </w:tr>
      <w:tr w:rsidR="00865A07" w:rsidRPr="00395B6E" w:rsidTr="00F23557">
        <w:trPr>
          <w:trHeight w:val="92"/>
          <w:jc w:val="center"/>
        </w:trPr>
        <w:tc>
          <w:tcPr>
            <w:tcW w:w="5439" w:type="dxa"/>
            <w:gridSpan w:val="14"/>
            <w:vMerge w:val="restart"/>
            <w:shd w:val="clear" w:color="auto" w:fill="auto"/>
            <w:vAlign w:val="center"/>
          </w:tcPr>
          <w:p w:rsidR="00865A07" w:rsidRPr="00395B6E" w:rsidRDefault="00865A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5A07" w:rsidRPr="00395B6E" w:rsidTr="00F23557">
        <w:trPr>
          <w:trHeight w:val="92"/>
          <w:jc w:val="center"/>
        </w:trPr>
        <w:tc>
          <w:tcPr>
            <w:tcW w:w="543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A07" w:rsidRPr="00395B6E" w:rsidRDefault="00865A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564F24" w:rsidRDefault="00865A07" w:rsidP="00F76FFD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0401F">
              <w:rPr>
                <w:rFonts w:ascii="GHEA Grapalat" w:hAnsi="GHEA Grapalat"/>
                <w:color w:val="000000"/>
                <w:sz w:val="16"/>
              </w:rPr>
              <w:t>на основании статьи 10 Закона РА «О закупках» В соответствии с условиями, установленными в статье 10 (4)</w:t>
            </w:r>
            <w:r w:rsidR="00F76FFD" w:rsidRPr="00F76FFD">
              <w:rPr>
                <w:rFonts w:ascii="GHEA Grapalat" w:hAnsi="GHEA Grapalat"/>
                <w:color w:val="000000"/>
                <w:sz w:val="16"/>
              </w:rPr>
              <w:t>п</w:t>
            </w:r>
            <w:r w:rsidRPr="00D0401F">
              <w:rPr>
                <w:rFonts w:ascii="GHEA Grapalat" w:hAnsi="GHEA Grapalat"/>
                <w:color w:val="000000"/>
                <w:sz w:val="16"/>
              </w:rPr>
              <w:t xml:space="preserve"> </w:t>
            </w:r>
            <w:r w:rsidR="00F76FFD" w:rsidRPr="00D0401F">
              <w:rPr>
                <w:rFonts w:ascii="GHEA Grapalat" w:hAnsi="GHEA Grapalat"/>
                <w:color w:val="000000"/>
                <w:sz w:val="16"/>
              </w:rPr>
              <w:t>(</w:t>
            </w:r>
            <w:r w:rsidR="00F76FFD" w:rsidRPr="00F76FFD">
              <w:rPr>
                <w:rFonts w:ascii="GHEA Grapalat" w:hAnsi="GHEA Grapalat"/>
                <w:color w:val="000000"/>
                <w:sz w:val="16"/>
              </w:rPr>
              <w:t>1</w:t>
            </w:r>
            <w:r w:rsidR="00F76FFD" w:rsidRPr="00D0401F">
              <w:rPr>
                <w:rFonts w:ascii="GHEA Grapalat" w:hAnsi="GHEA Grapalat"/>
                <w:color w:val="000000"/>
                <w:sz w:val="16"/>
              </w:rPr>
              <w:t>)</w:t>
            </w:r>
            <w:r w:rsidR="00F76FFD" w:rsidRPr="00F76FFD">
              <w:rPr>
                <w:rFonts w:ascii="GHEA Grapalat" w:hAnsi="GHEA Grapalat"/>
                <w:color w:val="000000"/>
                <w:sz w:val="16"/>
              </w:rPr>
              <w:t xml:space="preserve"> </w:t>
            </w:r>
            <w:r w:rsidRPr="00D0401F">
              <w:rPr>
                <w:rFonts w:ascii="GHEA Grapalat" w:hAnsi="GHEA Grapalat"/>
                <w:color w:val="000000"/>
                <w:sz w:val="16"/>
              </w:rPr>
              <w:t>Закона РА о закупках, период бездействия не применяется</w:t>
            </w:r>
          </w:p>
        </w:tc>
      </w:tr>
      <w:tr w:rsidR="00AF30EB" w:rsidRPr="00395B6E" w:rsidTr="00F23557">
        <w:trPr>
          <w:trHeight w:val="344"/>
          <w:jc w:val="center"/>
        </w:trPr>
        <w:tc>
          <w:tcPr>
            <w:tcW w:w="543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30EB" w:rsidRPr="00395B6E" w:rsidRDefault="00AF30E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17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30EB" w:rsidRPr="00AF30EB" w:rsidRDefault="00AF30EB" w:rsidP="003140A5">
            <w:pP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3140A5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9</w:t>
            </w:r>
            <w:r w:rsidRPr="00572B42">
              <w:rPr>
                <w:rFonts w:ascii="GHEA Grapalat" w:hAnsi="GHEA Grapalat" w:cs="Sylfaen"/>
                <w:b/>
                <w:sz w:val="16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01</w:t>
            </w:r>
            <w:r w:rsidRPr="00572B42">
              <w:rPr>
                <w:rFonts w:ascii="GHEA Grapalat" w:hAnsi="GHEA Grapalat" w:cs="Sylfaen"/>
                <w:b/>
                <w:sz w:val="16"/>
                <w:szCs w:val="14"/>
              </w:rPr>
              <w:t>/202</w:t>
            </w:r>
            <w:r w:rsidR="003140A5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г</w:t>
            </w:r>
          </w:p>
        </w:tc>
      </w:tr>
      <w:tr w:rsidR="00AF30EB" w:rsidRPr="00395B6E" w:rsidTr="00F23557">
        <w:trPr>
          <w:trHeight w:val="344"/>
          <w:jc w:val="center"/>
        </w:trPr>
        <w:tc>
          <w:tcPr>
            <w:tcW w:w="54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395B6E" w:rsidRDefault="00AF30E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AF30EB" w:rsidRDefault="00AF30EB" w:rsidP="003140A5">
            <w:pP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04/</w:t>
            </w:r>
            <w:r w:rsidRPr="00703BA8">
              <w:rPr>
                <w:rFonts w:ascii="GHEA Grapalat" w:hAnsi="GHEA Grapalat" w:cs="Sylfaen"/>
                <w:b/>
                <w:sz w:val="16"/>
                <w:szCs w:val="14"/>
              </w:rPr>
              <w:t>02/202</w:t>
            </w:r>
            <w:r w:rsidR="003140A5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г</w:t>
            </w:r>
          </w:p>
        </w:tc>
      </w:tr>
      <w:tr w:rsidR="00AF30EB" w:rsidRPr="00395B6E" w:rsidTr="00F23557">
        <w:trPr>
          <w:trHeight w:val="344"/>
          <w:jc w:val="center"/>
        </w:trPr>
        <w:tc>
          <w:tcPr>
            <w:tcW w:w="54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395B6E" w:rsidRDefault="00AF30E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EB" w:rsidRPr="00AF30EB" w:rsidRDefault="00AF30EB" w:rsidP="003140A5">
            <w:pP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05</w:t>
            </w:r>
            <w:r w:rsidRPr="00703BA8">
              <w:rPr>
                <w:rFonts w:ascii="GHEA Grapalat" w:hAnsi="GHEA Grapalat" w:cs="Sylfaen"/>
                <w:b/>
                <w:sz w:val="16"/>
                <w:szCs w:val="14"/>
              </w:rPr>
              <w:t>/02/202</w:t>
            </w:r>
            <w:r w:rsidR="003140A5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г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376" w:type="dxa"/>
            <w:gridSpan w:val="23"/>
            <w:shd w:val="clear" w:color="auto" w:fill="auto"/>
            <w:vAlign w:val="center"/>
          </w:tcPr>
          <w:p w:rsidR="00865A07" w:rsidRPr="00395B6E" w:rsidRDefault="00865A07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5A07" w:rsidRPr="00395B6E" w:rsidTr="00F23557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73" w:type="dxa"/>
            <w:gridSpan w:val="7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4" w:type="dxa"/>
            <w:gridSpan w:val="4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583" w:type="dxa"/>
            <w:gridSpan w:val="4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5A07" w:rsidRPr="00395B6E" w:rsidTr="00F23557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83" w:type="dxa"/>
            <w:gridSpan w:val="4"/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65A07" w:rsidRPr="00395B6E" w:rsidTr="00F23557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140A5" w:rsidRPr="00395B6E" w:rsidTr="00667486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40A5" w:rsidRPr="00395B6E" w:rsidRDefault="003140A5" w:rsidP="00667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3140A5" w:rsidRPr="00F14416" w:rsidRDefault="003140A5" w:rsidP="006674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lang w:val="en-US"/>
              </w:rPr>
              <w:t xml:space="preserve">ООО 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845329">
              <w:rPr>
                <w:rFonts w:ascii="GHEA Grapalat" w:hAnsi="GHEA Grapalat" w:cs="Cambria Math"/>
                <w:sz w:val="16"/>
                <w:lang w:val="hy-AM"/>
              </w:rPr>
              <w:t>ՀԱՅԿԱԿԱՆ ԾՐԱԳՐԵՐ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>»</w:t>
            </w: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3140A5" w:rsidRPr="009F3B02" w:rsidRDefault="003140A5" w:rsidP="003140A5">
            <w:pPr>
              <w:widowControl w:val="0"/>
              <w:rPr>
                <w:rFonts w:ascii="GHEA Grapalat" w:hAnsi="GHEA Grapalat" w:cs="Arial Armenian"/>
                <w:sz w:val="16"/>
                <w:szCs w:val="22"/>
                <w:lang w:val="en-US"/>
              </w:rPr>
            </w:pPr>
            <w:r w:rsidRPr="00D57E3F">
              <w:rPr>
                <w:rFonts w:ascii="GHEA Grapalat" w:hAnsi="GHEA Grapalat" w:cs="Arial Armenian"/>
                <w:sz w:val="16"/>
                <w:szCs w:val="22"/>
                <w:lang w:val="hy-AM"/>
              </w:rPr>
              <w:t>ՄՍԾ ՄԱԾՁԲ-2</w:t>
            </w:r>
            <w:r>
              <w:rPr>
                <w:rFonts w:ascii="GHEA Grapalat" w:hAnsi="GHEA Grapalat" w:cs="Arial Armenian"/>
                <w:sz w:val="16"/>
                <w:szCs w:val="22"/>
                <w:lang w:val="en-US"/>
              </w:rPr>
              <w:t>6</w:t>
            </w:r>
            <w:r w:rsidRPr="00D57E3F">
              <w:rPr>
                <w:rFonts w:ascii="GHEA Grapalat" w:hAnsi="GHEA Grapalat" w:cs="Arial Armenian"/>
                <w:sz w:val="16"/>
                <w:szCs w:val="22"/>
                <w:lang w:val="hy-AM"/>
              </w:rPr>
              <w:t>/</w:t>
            </w:r>
            <w:r>
              <w:rPr>
                <w:rFonts w:ascii="GHEA Grapalat" w:hAnsi="GHEA Grapalat" w:cs="Arial Armenian"/>
                <w:sz w:val="16"/>
                <w:szCs w:val="22"/>
                <w:lang w:val="en-US"/>
              </w:rPr>
              <w:t>1</w:t>
            </w: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3140A5" w:rsidRPr="00F17475" w:rsidRDefault="003140A5" w:rsidP="003140A5">
            <w:pP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05</w:t>
            </w:r>
            <w:r w:rsidRPr="00703BA8">
              <w:rPr>
                <w:rFonts w:ascii="GHEA Grapalat" w:hAnsi="GHEA Grapalat" w:cs="Sylfaen"/>
                <w:b/>
                <w:sz w:val="16"/>
                <w:szCs w:val="14"/>
              </w:rPr>
              <w:t>/02/202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6г</w:t>
            </w: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3140A5" w:rsidRPr="00D57E3F" w:rsidRDefault="003140A5" w:rsidP="00314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с</w:t>
            </w:r>
            <w:r w:rsidRPr="00F2355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</w:t>
            </w: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момента</w:t>
            </w:r>
            <w:r w:rsidRPr="00F2355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</w:t>
            </w: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вступления</w:t>
            </w:r>
            <w:r w:rsidRPr="00F2355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</w:t>
            </w: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в</w:t>
            </w:r>
            <w:r w:rsidRPr="00F2355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</w:t>
            </w: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силу</w:t>
            </w:r>
            <w:r w:rsidRPr="00F2355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</w:t>
            </w:r>
            <w:r w:rsidRPr="00F23557">
              <w:rPr>
                <w:rStyle w:val="tlid-translation"/>
                <w:rFonts w:ascii="GHEA Grapalat" w:hAnsi="GHEA Grapalat" w:cs="Cambria Math" w:hint="eastAsia"/>
                <w:sz w:val="16"/>
                <w:szCs w:val="16"/>
              </w:rPr>
              <w:t>договора</w:t>
            </w:r>
            <w:r w:rsidRPr="00D57E3F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 xml:space="preserve"> до </w:t>
            </w:r>
            <w:r w:rsidRPr="00865A07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>31</w:t>
            </w:r>
            <w:r w:rsidRPr="00D57E3F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>-ого декабря 202</w:t>
            </w:r>
            <w:r>
              <w:rPr>
                <w:rStyle w:val="tlid-translation"/>
                <w:rFonts w:ascii="GHEA Grapalat" w:hAnsi="GHEA Grapalat" w:cs="Cambria Math"/>
                <w:sz w:val="16"/>
                <w:szCs w:val="16"/>
                <w:lang w:val="en-US"/>
              </w:rPr>
              <w:t>6</w:t>
            </w:r>
            <w:r w:rsidRPr="00D57E3F">
              <w:rPr>
                <w:rStyle w:val="tlid-translation"/>
                <w:rFonts w:ascii="GHEA Grapalat" w:hAnsi="GHEA Grapalat" w:cs="Cambria Math"/>
                <w:sz w:val="16"/>
                <w:szCs w:val="16"/>
              </w:rPr>
              <w:t>г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140A5" w:rsidRPr="00804CC9" w:rsidRDefault="003140A5" w:rsidP="00667486">
            <w:pPr>
              <w:widowControl w:val="0"/>
              <w:ind w:firstLine="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3140A5" w:rsidRPr="0022631D" w:rsidRDefault="003140A5" w:rsidP="00EB6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9579600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140A5" w:rsidRPr="0022631D" w:rsidRDefault="003140A5" w:rsidP="00EB6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9579600</w:t>
            </w:r>
          </w:p>
        </w:tc>
      </w:tr>
      <w:tr w:rsidR="00865A07" w:rsidRPr="00395B6E" w:rsidTr="00F23557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65A07" w:rsidRPr="00395B6E" w:rsidRDefault="00865A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150"/>
          <w:jc w:val="center"/>
        </w:trPr>
        <w:tc>
          <w:tcPr>
            <w:tcW w:w="15612" w:type="dxa"/>
            <w:gridSpan w:val="28"/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5A07" w:rsidRPr="00395B6E" w:rsidTr="00F23557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67486" w:rsidRPr="00E42595" w:rsidTr="00F23557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395B6E" w:rsidRDefault="00667486" w:rsidP="00667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F14416" w:rsidRDefault="00667486" w:rsidP="006674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lang w:val="en-US"/>
              </w:rPr>
              <w:t xml:space="preserve">ООО 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>«</w:t>
            </w:r>
            <w:r w:rsidRPr="00845329">
              <w:rPr>
                <w:rFonts w:ascii="GHEA Grapalat" w:hAnsi="GHEA Grapalat" w:cs="Cambria Math"/>
                <w:sz w:val="16"/>
                <w:lang w:val="hy-AM"/>
              </w:rPr>
              <w:t>ՀԱՅԿԱԿԱՆ ԾՐԱԳՐԵՐ</w:t>
            </w:r>
            <w:r w:rsidRPr="00845329">
              <w:rPr>
                <w:rFonts w:ascii="GHEA Grapalat" w:hAnsi="GHEA Grapalat" w:cs="Sylfaen"/>
                <w:sz w:val="16"/>
                <w:lang w:val="hy-AM"/>
              </w:rPr>
              <w:t>»</w:t>
            </w: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845329" w:rsidRDefault="00667486" w:rsidP="00667486">
            <w:pPr>
              <w:widowControl w:val="0"/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845329">
              <w:rPr>
                <w:rFonts w:ascii="GHEA Grapalat" w:hAnsi="GHEA Grapalat" w:cs="Arial Armenian"/>
                <w:sz w:val="16"/>
                <w:szCs w:val="22"/>
                <w:lang w:val="hy-AM"/>
              </w:rPr>
              <w:t xml:space="preserve">ք.Երևան, Չարենցի 1, հեռ.՝ 010 57-47-95, 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AD235D" w:rsidRDefault="00667486" w:rsidP="00667486">
            <w:pPr>
              <w:widowControl w:val="0"/>
              <w:jc w:val="center"/>
              <w:rPr>
                <w:rFonts w:ascii="GHEA Grapalat" w:hAnsi="GHEA Grapalat" w:cs="Arial Armenian"/>
                <w:sz w:val="16"/>
                <w:lang w:val="hy-AM"/>
              </w:rPr>
            </w:pPr>
            <w:r w:rsidRPr="00AD235D">
              <w:rPr>
                <w:rFonts w:ascii="GHEA Grapalat" w:hAnsi="GHEA Grapalat" w:cs="Arial Armenian"/>
                <w:sz w:val="16"/>
                <w:lang w:val="hy-AM"/>
              </w:rPr>
              <w:t>support@armsoft.am</w:t>
            </w:r>
          </w:p>
        </w:tc>
        <w:tc>
          <w:tcPr>
            <w:tcW w:w="3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E36890" w:rsidRDefault="00667486" w:rsidP="0066748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55699">
              <w:rPr>
                <w:rFonts w:ascii="GHEA Grapalat" w:hAnsi="GHEA Grapalat"/>
                <w:sz w:val="16"/>
                <w:lang w:val="es-ES"/>
              </w:rPr>
              <w:t xml:space="preserve">Հ/Հ </w:t>
            </w:r>
            <w:r>
              <w:rPr>
                <w:rFonts w:ascii="GHEA Grapalat" w:hAnsi="GHEA Grapalat"/>
                <w:sz w:val="16"/>
                <w:lang w:val="es-ES"/>
              </w:rPr>
              <w:t>1930030005130100</w:t>
            </w:r>
          </w:p>
        </w:tc>
        <w:tc>
          <w:tcPr>
            <w:tcW w:w="4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486" w:rsidRPr="00804CC9" w:rsidRDefault="00667486" w:rsidP="0066748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55699">
              <w:rPr>
                <w:rFonts w:ascii="GHEA Grapalat" w:hAnsi="GHEA Grapalat"/>
                <w:sz w:val="16"/>
                <w:lang w:val="es-ES"/>
              </w:rPr>
              <w:t xml:space="preserve">ՀՎՀՀ </w:t>
            </w:r>
            <w:r>
              <w:rPr>
                <w:rFonts w:ascii="GHEA Grapalat" w:hAnsi="GHEA Grapalat"/>
                <w:sz w:val="16"/>
                <w:lang w:val="es-ES"/>
              </w:rPr>
              <w:t>00807555</w:t>
            </w:r>
          </w:p>
        </w:tc>
      </w:tr>
      <w:tr w:rsidR="00865A07" w:rsidRPr="00E42595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D57E3F" w:rsidRDefault="00865A0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2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r w:rsidRPr="00D57E3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</w:p>
        </w:tc>
        <w:tc>
          <w:tcPr>
            <w:tcW w:w="113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75"/>
          <w:jc w:val="center"/>
        </w:trPr>
        <w:tc>
          <w:tcPr>
            <w:tcW w:w="1561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65A07" w:rsidRPr="00B946EF" w:rsidRDefault="00865A07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</w:t>
            </w:r>
            <w:r w:rsidR="0066748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865A07" w:rsidRPr="00B946EF" w:rsidRDefault="00865A07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865A07" w:rsidRPr="00AC1E22" w:rsidRDefault="00865A07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865A07" w:rsidRPr="00205D54" w:rsidRDefault="00865A07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865A07" w:rsidRPr="00C24736" w:rsidRDefault="00865A07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5A07" w:rsidRPr="00A747D5" w:rsidRDefault="00865A07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5A07" w:rsidRPr="00A747D5" w:rsidRDefault="00865A07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5A07" w:rsidRPr="006D6189" w:rsidRDefault="00865A07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5A07" w:rsidRPr="004D7CAF" w:rsidRDefault="00865A07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66748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3140A5" w:rsidRPr="00785190">
              <w:rPr>
                <w:rFonts w:ascii="GHEA Grapalat" w:hAnsi="GHEA Grapalat"/>
                <w:color w:val="191919"/>
                <w:sz w:val="16"/>
                <w:szCs w:val="21"/>
                <w:shd w:val="clear" w:color="auto" w:fill="F6F6F6"/>
              </w:rPr>
              <w:t>siranush.grigoryan@socservice.am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865A07" w:rsidRPr="00A747D5" w:rsidRDefault="00865A07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75"/>
          <w:jc w:val="center"/>
        </w:trPr>
        <w:tc>
          <w:tcPr>
            <w:tcW w:w="42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865A0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13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65A07" w:rsidRPr="00395B6E" w:rsidRDefault="006674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D67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«Գնումների մասին» ՀՀ օրենքի համաձայն իրականացված հրապարակումներ տեղի չեն ունեցել:</w:t>
            </w:r>
          </w:p>
        </w:tc>
      </w:tr>
      <w:tr w:rsidR="00865A07" w:rsidRPr="00395B6E" w:rsidTr="00F23557">
        <w:trPr>
          <w:trHeight w:val="223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27"/>
          <w:jc w:val="center"/>
        </w:trPr>
        <w:tc>
          <w:tcPr>
            <w:tcW w:w="4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1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C65952" w:rsidRDefault="00865A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A07" w:rsidRPr="00395B6E" w:rsidRDefault="00865A0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27"/>
          <w:jc w:val="center"/>
        </w:trPr>
        <w:tc>
          <w:tcPr>
            <w:tcW w:w="4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1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C65952" w:rsidRDefault="00865A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427"/>
          <w:jc w:val="center"/>
        </w:trPr>
        <w:tc>
          <w:tcPr>
            <w:tcW w:w="4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1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C65952" w:rsidRDefault="00865A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65A07" w:rsidRPr="00395B6E" w:rsidTr="00F23557">
        <w:trPr>
          <w:trHeight w:val="288"/>
          <w:jc w:val="center"/>
        </w:trPr>
        <w:tc>
          <w:tcPr>
            <w:tcW w:w="15612" w:type="dxa"/>
            <w:gridSpan w:val="28"/>
            <w:shd w:val="clear" w:color="auto" w:fill="99CCFF"/>
            <w:vAlign w:val="center"/>
          </w:tcPr>
          <w:p w:rsidR="00865A07" w:rsidRPr="00395B6E" w:rsidRDefault="00865A0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A07" w:rsidRPr="00395B6E" w:rsidTr="00F23557">
        <w:trPr>
          <w:trHeight w:val="227"/>
          <w:jc w:val="center"/>
        </w:trPr>
        <w:tc>
          <w:tcPr>
            <w:tcW w:w="15612" w:type="dxa"/>
            <w:gridSpan w:val="28"/>
            <w:shd w:val="clear" w:color="auto" w:fill="auto"/>
            <w:vAlign w:val="center"/>
          </w:tcPr>
          <w:p w:rsidR="00865A07" w:rsidRPr="00395B6E" w:rsidRDefault="00865A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5A07" w:rsidRPr="00395B6E" w:rsidTr="00F23557">
        <w:trPr>
          <w:trHeight w:val="47"/>
          <w:jc w:val="center"/>
        </w:trPr>
        <w:tc>
          <w:tcPr>
            <w:tcW w:w="37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A07" w:rsidRPr="00395B6E" w:rsidRDefault="00865A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76FFD" w:rsidRPr="00395B6E" w:rsidTr="00F23557">
        <w:trPr>
          <w:trHeight w:val="47"/>
          <w:jc w:val="center"/>
        </w:trPr>
        <w:tc>
          <w:tcPr>
            <w:tcW w:w="3735" w:type="dxa"/>
            <w:gridSpan w:val="7"/>
            <w:shd w:val="clear" w:color="auto" w:fill="auto"/>
            <w:vAlign w:val="center"/>
          </w:tcPr>
          <w:p w:rsidR="00F76FFD" w:rsidRPr="0022631D" w:rsidRDefault="00F76FFD" w:rsidP="003774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9"/>
            <w:shd w:val="clear" w:color="auto" w:fill="auto"/>
            <w:vAlign w:val="center"/>
          </w:tcPr>
          <w:p w:rsidR="00F76FFD" w:rsidRPr="00D57E3F" w:rsidRDefault="00F76FFD" w:rsidP="003774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060 654 066</w:t>
            </w:r>
          </w:p>
        </w:tc>
        <w:tc>
          <w:tcPr>
            <w:tcW w:w="9363" w:type="dxa"/>
            <w:gridSpan w:val="12"/>
            <w:shd w:val="clear" w:color="auto" w:fill="auto"/>
            <w:vAlign w:val="center"/>
          </w:tcPr>
          <w:p w:rsidR="00F76FFD" w:rsidRPr="00F76FFD" w:rsidRDefault="00F76FFD" w:rsidP="00B32F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F76FFD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0401F">
      <w:footerReference w:type="even" r:id="rId9"/>
      <w:footerReference w:type="default" r:id="rId10"/>
      <w:pgSz w:w="16838" w:h="11906" w:orient="landscape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D0" w:rsidRDefault="00B640D0">
      <w:r>
        <w:separator/>
      </w:r>
    </w:p>
  </w:endnote>
  <w:endnote w:type="continuationSeparator" w:id="0">
    <w:p w:rsidR="00B640D0" w:rsidRDefault="00B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8257B0" w:rsidRPr="00F23557" w:rsidRDefault="005A1214">
        <w:pPr>
          <w:pStyle w:val="Footer"/>
          <w:jc w:val="center"/>
          <w:rPr>
            <w:rFonts w:ascii="GHEA Grapalat" w:hAnsi="GHEA Grapalat"/>
            <w:szCs w:val="24"/>
          </w:rPr>
        </w:pPr>
        <w:r w:rsidRPr="00F23557">
          <w:rPr>
            <w:rFonts w:ascii="GHEA Grapalat" w:hAnsi="GHEA Grapalat"/>
            <w:szCs w:val="24"/>
          </w:rPr>
          <w:fldChar w:fldCharType="begin"/>
        </w:r>
        <w:r w:rsidR="008257B0" w:rsidRPr="00F23557">
          <w:rPr>
            <w:rFonts w:ascii="GHEA Grapalat" w:hAnsi="GHEA Grapalat"/>
            <w:szCs w:val="24"/>
          </w:rPr>
          <w:instrText xml:space="preserve"> PAGE   \* MERGEFORMAT </w:instrText>
        </w:r>
        <w:r w:rsidRPr="00F23557">
          <w:rPr>
            <w:rFonts w:ascii="GHEA Grapalat" w:hAnsi="GHEA Grapalat"/>
            <w:szCs w:val="24"/>
          </w:rPr>
          <w:fldChar w:fldCharType="separate"/>
        </w:r>
        <w:r w:rsidR="00A86FF8">
          <w:rPr>
            <w:rFonts w:ascii="GHEA Grapalat" w:hAnsi="GHEA Grapalat"/>
            <w:noProof/>
            <w:szCs w:val="24"/>
          </w:rPr>
          <w:t>4</w:t>
        </w:r>
        <w:r w:rsidRPr="00F23557">
          <w:rPr>
            <w:rFonts w:ascii="GHEA Grapalat" w:hAnsi="GHEA Grapalat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D0" w:rsidRDefault="00B640D0">
      <w:r>
        <w:separator/>
      </w:r>
    </w:p>
  </w:footnote>
  <w:footnote w:type="continuationSeparator" w:id="0">
    <w:p w:rsidR="00B640D0" w:rsidRDefault="00B640D0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F3B02" w:rsidRPr="004F6EEB" w:rsidRDefault="009F3B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F3B02" w:rsidRPr="004F6EEB" w:rsidRDefault="009F3B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865A07" w:rsidRPr="00263338" w:rsidRDefault="00865A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865A07" w:rsidRPr="00263338" w:rsidRDefault="00865A0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865A07" w:rsidRPr="000E649B" w:rsidRDefault="00865A07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865A07" w:rsidRPr="000E649B" w:rsidRDefault="00865A07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865A07" w:rsidRPr="000E649B" w:rsidRDefault="00865A07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B0B43A4"/>
    <w:multiLevelType w:val="hybridMultilevel"/>
    <w:tmpl w:val="528ADBC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BFF5AE8"/>
    <w:multiLevelType w:val="hybridMultilevel"/>
    <w:tmpl w:val="79BA4A0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1CF4BD6"/>
    <w:multiLevelType w:val="hybridMultilevel"/>
    <w:tmpl w:val="2B6ACB50"/>
    <w:lvl w:ilvl="0" w:tplc="70525F4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16302"/>
    <w:multiLevelType w:val="hybridMultilevel"/>
    <w:tmpl w:val="028031E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4132ACD"/>
    <w:multiLevelType w:val="hybridMultilevel"/>
    <w:tmpl w:val="4F8E6B0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FED623D"/>
    <w:multiLevelType w:val="hybridMultilevel"/>
    <w:tmpl w:val="10F006FA"/>
    <w:lvl w:ilvl="0" w:tplc="70525F4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367048"/>
    <w:multiLevelType w:val="hybridMultilevel"/>
    <w:tmpl w:val="72A0DA6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3"/>
  </w:num>
  <w:num w:numId="3">
    <w:abstractNumId w:val="4"/>
  </w:num>
  <w:num w:numId="4">
    <w:abstractNumId w:val="27"/>
  </w:num>
  <w:num w:numId="5">
    <w:abstractNumId w:val="44"/>
  </w:num>
  <w:num w:numId="6">
    <w:abstractNumId w:val="24"/>
  </w:num>
  <w:num w:numId="7">
    <w:abstractNumId w:val="40"/>
  </w:num>
  <w:num w:numId="8">
    <w:abstractNumId w:val="10"/>
  </w:num>
  <w:num w:numId="9">
    <w:abstractNumId w:val="26"/>
  </w:num>
  <w:num w:numId="10">
    <w:abstractNumId w:val="21"/>
  </w:num>
  <w:num w:numId="11">
    <w:abstractNumId w:val="16"/>
  </w:num>
  <w:num w:numId="12">
    <w:abstractNumId w:val="1"/>
  </w:num>
  <w:num w:numId="13">
    <w:abstractNumId w:val="35"/>
  </w:num>
  <w:num w:numId="14">
    <w:abstractNumId w:val="34"/>
  </w:num>
  <w:num w:numId="15">
    <w:abstractNumId w:val="12"/>
  </w:num>
  <w:num w:numId="16">
    <w:abstractNumId w:val="2"/>
  </w:num>
  <w:num w:numId="17">
    <w:abstractNumId w:val="9"/>
  </w:num>
  <w:num w:numId="18">
    <w:abstractNumId w:val="31"/>
  </w:num>
  <w:num w:numId="19">
    <w:abstractNumId w:val="36"/>
  </w:num>
  <w:num w:numId="20">
    <w:abstractNumId w:val="3"/>
  </w:num>
  <w:num w:numId="21">
    <w:abstractNumId w:val="32"/>
  </w:num>
  <w:num w:numId="22">
    <w:abstractNumId w:val="38"/>
  </w:num>
  <w:num w:numId="23">
    <w:abstractNumId w:val="11"/>
  </w:num>
  <w:num w:numId="24">
    <w:abstractNumId w:val="7"/>
  </w:num>
  <w:num w:numId="25">
    <w:abstractNumId w:val="43"/>
  </w:num>
  <w:num w:numId="26">
    <w:abstractNumId w:val="30"/>
  </w:num>
  <w:num w:numId="27">
    <w:abstractNumId w:val="14"/>
  </w:num>
  <w:num w:numId="28">
    <w:abstractNumId w:val="18"/>
  </w:num>
  <w:num w:numId="29">
    <w:abstractNumId w:val="41"/>
  </w:num>
  <w:num w:numId="30">
    <w:abstractNumId w:val="28"/>
  </w:num>
  <w:num w:numId="31">
    <w:abstractNumId w:val="28"/>
  </w:num>
  <w:num w:numId="32">
    <w:abstractNumId w:val="22"/>
  </w:num>
  <w:num w:numId="33">
    <w:abstractNumId w:val="45"/>
  </w:num>
  <w:num w:numId="34">
    <w:abstractNumId w:val="15"/>
  </w:num>
  <w:num w:numId="35">
    <w:abstractNumId w:val="20"/>
  </w:num>
  <w:num w:numId="36">
    <w:abstractNumId w:val="8"/>
  </w:num>
  <w:num w:numId="37">
    <w:abstractNumId w:val="23"/>
  </w:num>
  <w:num w:numId="38">
    <w:abstractNumId w:val="17"/>
  </w:num>
  <w:num w:numId="39">
    <w:abstractNumId w:val="0"/>
  </w:num>
  <w:num w:numId="40">
    <w:abstractNumId w:val="25"/>
  </w:num>
  <w:num w:numId="41">
    <w:abstractNumId w:val="42"/>
  </w:num>
  <w:num w:numId="42">
    <w:abstractNumId w:val="29"/>
  </w:num>
  <w:num w:numId="43">
    <w:abstractNumId w:val="19"/>
  </w:num>
  <w:num w:numId="44">
    <w:abstractNumId w:val="5"/>
  </w:num>
  <w:num w:numId="45">
    <w:abstractNumId w:val="6"/>
  </w:num>
  <w:num w:numId="46">
    <w:abstractNumId w:val="3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B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039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A90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335F"/>
    <w:rsid w:val="001E7074"/>
    <w:rsid w:val="001F5BAF"/>
    <w:rsid w:val="00200F36"/>
    <w:rsid w:val="00203423"/>
    <w:rsid w:val="0020420B"/>
    <w:rsid w:val="00205535"/>
    <w:rsid w:val="00205D54"/>
    <w:rsid w:val="002126AE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21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40A5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5485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55B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2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37EC0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7486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411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7389"/>
    <w:rsid w:val="00836454"/>
    <w:rsid w:val="008371E6"/>
    <w:rsid w:val="008503C1"/>
    <w:rsid w:val="0085169A"/>
    <w:rsid w:val="0085228E"/>
    <w:rsid w:val="00865A07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7E9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3B02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86FF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48CE"/>
    <w:rsid w:val="00AD5F58"/>
    <w:rsid w:val="00AE3E32"/>
    <w:rsid w:val="00AE44F0"/>
    <w:rsid w:val="00AE7C17"/>
    <w:rsid w:val="00AF30EB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40D0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13952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7E3F"/>
    <w:rsid w:val="00D63146"/>
    <w:rsid w:val="00D660D3"/>
    <w:rsid w:val="00D673FC"/>
    <w:rsid w:val="00D722AD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1664C"/>
    <w:rsid w:val="00E21EBA"/>
    <w:rsid w:val="00E24AA7"/>
    <w:rsid w:val="00E359C1"/>
    <w:rsid w:val="00E41DA4"/>
    <w:rsid w:val="00E42595"/>
    <w:rsid w:val="00E427D3"/>
    <w:rsid w:val="00E476D2"/>
    <w:rsid w:val="00E535D1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4416"/>
    <w:rsid w:val="00F17475"/>
    <w:rsid w:val="00F22D7A"/>
    <w:rsid w:val="00F22EBC"/>
    <w:rsid w:val="00F23557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FFD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Resume Title,List Paragraph1,Akapit z listą BS,List Paragraph 1,Paragraphe de liste PBLH,Bullets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  <w:style w:type="character" w:customStyle="1" w:styleId="ListParagraphChar">
    <w:name w:val="List Paragraph Char"/>
    <w:aliases w:val="Resume Title Char,List Paragraph1 Char,Akapit z listą BS Char,List Paragraph 1 Char,Paragraphe de liste PBLH Char,Bullets Char,List_Paragraph Char,Multilevel para_II Char,References Char,List Paragraph (numbered (a)) Char"/>
    <w:link w:val="ListParagraph"/>
    <w:uiPriority w:val="34"/>
    <w:locked/>
    <w:rsid w:val="00F17475"/>
    <w:rPr>
      <w:rFonts w:ascii="Times Armeni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9527-202D-4A48-9385-D8812033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146</cp:revision>
  <cp:lastPrinted>2015-07-14T07:47:00Z</cp:lastPrinted>
  <dcterms:created xsi:type="dcterms:W3CDTF">2018-08-09T07:28:00Z</dcterms:created>
  <dcterms:modified xsi:type="dcterms:W3CDTF">2026-02-05T12:35:00Z</dcterms:modified>
</cp:coreProperties>
</file>