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5638B87D" w:rsidR="00716704" w:rsidRPr="00B05106" w:rsidRDefault="00C84132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bookmarkStart w:id="0" w:name="_Hlk23167417"/>
      <w:r w:rsidRPr="00C84132">
        <w:rPr>
          <w:rFonts w:ascii="GHEA Grapalat" w:hAnsi="GHEA Grapalat" w:cs="Sylfaen"/>
          <w:i/>
          <w:lang w:val="af-ZA"/>
        </w:rPr>
        <w:t>Աբովյան համայնքի ամբողջ տարածքում ասֆալտապատման և ասֆալտի  փոսային վերանորոգման աշխատանքներ</w:t>
      </w:r>
      <w:bookmarkEnd w:id="0"/>
      <w:r w:rsidRPr="00C84132">
        <w:rPr>
          <w:rFonts w:ascii="GHEA Grapalat" w:hAnsi="GHEA Grapalat" w:cs="Sylfaen"/>
          <w:i/>
          <w:lang w:val="af-ZA"/>
        </w:rPr>
        <w:t>ի</w:t>
      </w:r>
      <w:r w:rsidR="006036AA">
        <w:rPr>
          <w:rFonts w:ascii="GHEA Grapalat" w:hAnsi="GHEA Grapalat" w:cs="Sylfaen"/>
          <w:i/>
          <w:lang w:val="af-ZA"/>
        </w:rPr>
        <w:t xml:space="preserve"> </w:t>
      </w:r>
      <w:r w:rsidRPr="00C84132">
        <w:rPr>
          <w:rFonts w:ascii="GHEA Grapalat" w:hAnsi="GHEA Grapalat" w:cs="Sylfaen"/>
          <w:i/>
          <w:lang w:val="af-ZA"/>
        </w:rPr>
        <w:t>ձեռքբերման</w:t>
      </w:r>
      <w:r w:rsidR="006036AA">
        <w:rPr>
          <w:rFonts w:ascii="Calibri" w:hAnsi="Calibri" w:cs="Calibri"/>
          <w:i/>
          <w:lang w:val="af-ZA"/>
        </w:rPr>
        <w:t xml:space="preserve"> </w:t>
      </w:r>
      <w:r w:rsidRPr="00C84132">
        <w:rPr>
          <w:rFonts w:ascii="GHEA Grapalat" w:hAnsi="GHEA Grapalat" w:cs="Sylfaen"/>
          <w:i/>
          <w:lang w:val="af-ZA"/>
        </w:rPr>
        <w:t>նպատակով</w:t>
      </w:r>
      <w:r>
        <w:rPr>
          <w:rFonts w:ascii="GHEA Grapalat" w:hAnsi="GHEA Grapalat" w:cs="Sylfaen"/>
          <w:i/>
          <w:lang w:val="af-ZA"/>
        </w:rPr>
        <w:t xml:space="preserve"> «ԱԲՀ-ԳՀԱՇՁԲ-24/</w:t>
      </w:r>
      <w:r w:rsidR="00611B61" w:rsidRPr="00611B61">
        <w:rPr>
          <w:rFonts w:ascii="GHEA Grapalat" w:hAnsi="GHEA Grapalat" w:cs="Sylfaen"/>
          <w:i/>
          <w:lang w:val="af-ZA"/>
        </w:rPr>
        <w:t>6</w:t>
      </w:r>
      <w:r>
        <w:rPr>
          <w:rFonts w:ascii="GHEA Grapalat" w:hAnsi="GHEA Grapalat" w:cs="Sylfaen"/>
          <w:i/>
          <w:lang w:val="af-ZA"/>
        </w:rPr>
        <w:t>4</w:t>
      </w:r>
      <w:r w:rsidR="00611B61" w:rsidRPr="00611B61">
        <w:rPr>
          <w:rFonts w:ascii="GHEA Grapalat" w:hAnsi="GHEA Grapalat" w:cs="Sylfaen"/>
          <w:i/>
          <w:lang w:val="af-ZA"/>
        </w:rPr>
        <w:t>»</w:t>
      </w:r>
      <w:r w:rsidR="009D667F">
        <w:rPr>
          <w:rFonts w:ascii="GHEA Grapalat" w:hAnsi="GHEA Grapalat" w:cs="Sylfaen"/>
          <w:i/>
          <w:lang w:val="af-ZA"/>
        </w:rPr>
        <w:t xml:space="preserve"> ծածկագրով </w:t>
      </w:r>
      <w:r w:rsidR="009D667F">
        <w:rPr>
          <w:rFonts w:ascii="GHEA Grapalat" w:hAnsi="GHEA Grapalat" w:cs="Sylfaen"/>
          <w:i/>
          <w:lang w:val="hy-AM"/>
        </w:rPr>
        <w:t>գնանշման հարցման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519F055D" w:rsidR="00F2723F" w:rsidRPr="00611B61" w:rsidRDefault="00716704" w:rsidP="00683AAC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>
        <w:rPr>
          <w:rFonts w:ascii="GHEA Grapalat" w:hAnsi="GHEA Grapalat" w:cs="Sylfaen"/>
          <w:i/>
          <w:lang w:val="hy-AM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611B61" w:rsidRPr="00C84132">
        <w:rPr>
          <w:rFonts w:ascii="GHEA Grapalat" w:hAnsi="GHEA Grapalat" w:cs="Sylfaen"/>
          <w:i/>
          <w:lang w:val="af-ZA"/>
        </w:rPr>
        <w:t>приобретения</w:t>
      </w:r>
      <w:r w:rsidR="00C84132" w:rsidRPr="00C84132">
        <w:rPr>
          <w:rFonts w:ascii="GHEA Grapalat" w:hAnsi="GHEA Grapalat" w:cs="Sylfaen"/>
          <w:i/>
          <w:lang w:val="af-ZA"/>
        </w:rPr>
        <w:t xml:space="preserve"> </w:t>
      </w:r>
      <w:r w:rsidR="00C84132" w:rsidRPr="00C84132">
        <w:rPr>
          <w:rFonts w:ascii="GHEA Grapalat" w:hAnsi="GHEA Grapalat" w:cs="Sylfaen"/>
          <w:i/>
          <w:lang w:val="af-ZA"/>
        </w:rPr>
        <w:t>работ по асфальтированию и ремонту асфальтовых ям на всей территории общины Абовян</w:t>
      </w:r>
      <w:r w:rsidR="00AD453A" w:rsidRPr="00C84132">
        <w:rPr>
          <w:rFonts w:ascii="GHEA Grapalat" w:hAnsi="GHEA Grapalat" w:cs="Sylfaen"/>
          <w:i/>
          <w:lang w:val="af-ZA"/>
        </w:rPr>
        <w:t xml:space="preserve"> с кодом</w:t>
      </w:r>
      <w:r w:rsidR="00AD453A" w:rsidRPr="00611B61">
        <w:rPr>
          <w:rFonts w:ascii="GHEA Grapalat" w:hAnsi="GHEA Grapalat" w:cs="Sylfaen"/>
          <w:i/>
        </w:rPr>
        <w:t xml:space="preserve"> "АBH-GH</w:t>
      </w:r>
      <w:r w:rsidR="00683AAC" w:rsidRPr="00611B61">
        <w:rPr>
          <w:rFonts w:ascii="GHEA Grapalat" w:hAnsi="GHEA Grapalat" w:cs="Sylfaen"/>
          <w:i/>
        </w:rPr>
        <w:t>AShDzB</w:t>
      </w:r>
      <w:r w:rsidR="00C84132">
        <w:rPr>
          <w:rFonts w:ascii="GHEA Grapalat" w:hAnsi="GHEA Grapalat" w:cs="Sylfaen"/>
          <w:i/>
        </w:rPr>
        <w:t>-24/</w:t>
      </w:r>
      <w:r w:rsidR="00611B61">
        <w:rPr>
          <w:rFonts w:ascii="GHEA Grapalat" w:hAnsi="GHEA Grapalat" w:cs="Sylfaen"/>
          <w:i/>
        </w:rPr>
        <w:t>6</w:t>
      </w:r>
      <w:r w:rsidR="00C84132" w:rsidRPr="00C84132">
        <w:rPr>
          <w:rFonts w:ascii="GHEA Grapalat" w:hAnsi="GHEA Grapalat" w:cs="Sylfaen"/>
          <w:i/>
        </w:rPr>
        <w:t>4</w:t>
      </w:r>
      <w:r w:rsidR="00683AAC" w:rsidRPr="00611B61">
        <w:rPr>
          <w:rFonts w:ascii="GHEA Grapalat" w:hAnsi="GHEA Grapalat" w:cs="Sylfaen"/>
          <w:i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261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275"/>
        <w:gridCol w:w="252"/>
        <w:gridCol w:w="244"/>
        <w:gridCol w:w="245"/>
        <w:gridCol w:w="262"/>
        <w:gridCol w:w="1813"/>
      </w:tblGrid>
      <w:tr w:rsidR="0022631D" w:rsidRPr="00705755" w14:paraId="3BCB0F4A" w14:textId="77777777" w:rsidTr="0072025A">
        <w:trPr>
          <w:trHeight w:val="146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38" w:type="dxa"/>
            <w:gridSpan w:val="32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7249E">
        <w:trPr>
          <w:trHeight w:val="110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7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945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D7249E">
        <w:trPr>
          <w:trHeight w:val="175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945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D7249E">
        <w:trPr>
          <w:trHeight w:val="275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9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C84132" w14:paraId="6CB0AC86" w14:textId="77777777" w:rsidTr="00D7249E">
        <w:trPr>
          <w:trHeight w:val="689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6E37217" w:rsidR="00395A74" w:rsidRPr="006036AA" w:rsidRDefault="006036AA" w:rsidP="00683AA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6036AA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ամբողջ տարածքում ասֆալտապատման և ասֆալտի  փոսային վերանորոգման աշխատանքներ</w:t>
            </w:r>
            <w:r w:rsidRPr="006036AA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6036AA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приобретения работ по асфальтированию и ремонту асфальтовых ям на всей территории общины Абовян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58087A1" w:rsidR="00207B08" w:rsidRPr="002722CD" w:rsidRDefault="002722CD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2722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79</w:t>
            </w:r>
            <w:r w:rsidRPr="002722CD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2722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928 820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9E1CC7F" w:rsidR="00207B08" w:rsidRPr="002722CD" w:rsidRDefault="002722CD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2722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79</w:t>
            </w:r>
            <w:r w:rsidRPr="002722CD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2722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928 820</w:t>
            </w:r>
          </w:p>
        </w:tc>
        <w:tc>
          <w:tcPr>
            <w:tcW w:w="19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9A926FA" w14:textId="77777777" w:rsidR="00C6708D" w:rsidRPr="006036AA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5948FBBE" w14:textId="77777777" w:rsidR="00C6708D" w:rsidRPr="006036AA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1013593A" w14:textId="7BA9ED5C" w:rsidR="00207B08" w:rsidRPr="006036AA" w:rsidRDefault="006036AA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036AA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ամբողջ տարածքում ասֆալտապատման և ասֆալտի  փոսային վերանորոգման աշխատանքներ приобретения работ по асфальтированию и ремонту асфальтовых ям на всей территории общины Абовян</w:t>
            </w: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</w:tcPr>
          <w:p w14:paraId="5CCAA384" w14:textId="77777777" w:rsidR="00C6708D" w:rsidRPr="006036AA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64EFDE69" w14:textId="77777777" w:rsidR="00C6708D" w:rsidRPr="006036AA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5152B32D" w14:textId="4BF79302" w:rsidR="00207B08" w:rsidRPr="006036AA" w:rsidRDefault="006036AA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036AA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ամբողջ տարածքում ասֆալտապատման և ասֆալտի  փոսային վերանորոգման աշխատանքներ приобретения работ по асфальтированию и ремонту асфальтовых ям на всей территории общины Абовян</w:t>
            </w:r>
          </w:p>
        </w:tc>
      </w:tr>
      <w:tr w:rsidR="008B53FB" w:rsidRPr="00C84132" w14:paraId="4B8BC031" w14:textId="77777777" w:rsidTr="00E32F23">
        <w:trPr>
          <w:trHeight w:val="169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C84132" w14:paraId="24C3B0CB" w14:textId="77777777" w:rsidTr="0072025A">
        <w:trPr>
          <w:trHeight w:val="137"/>
        </w:trPr>
        <w:tc>
          <w:tcPr>
            <w:tcW w:w="42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9479928" w:rsidR="008B53FB" w:rsidRPr="00705755" w:rsidRDefault="00C319D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Գնանշման հարցում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C84132" w14:paraId="075EEA57" w14:textId="77777777" w:rsidTr="00E32F23">
        <w:trPr>
          <w:trHeight w:val="196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A2AF6DF" w:rsidR="008B53FB" w:rsidRPr="00F32983" w:rsidRDefault="00C76202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2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0.</w:t>
            </w:r>
            <w:r w:rsidR="00435AB4"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  <w:t>05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E32F23">
        <w:trPr>
          <w:trHeight w:val="54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C84132" w14:paraId="10DC4861" w14:textId="77777777" w:rsidTr="0072025A">
        <w:trPr>
          <w:trHeight w:val="605"/>
        </w:trPr>
        <w:tc>
          <w:tcPr>
            <w:tcW w:w="1150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6" w:type="dxa"/>
            <w:gridSpan w:val="25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72025A">
        <w:trPr>
          <w:trHeight w:val="365"/>
        </w:trPr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C84132" w14:paraId="4DA511EC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276" w:type="dxa"/>
            <w:gridSpan w:val="31"/>
            <w:shd w:val="clear" w:color="auto" w:fill="auto"/>
            <w:vAlign w:val="center"/>
          </w:tcPr>
          <w:p w14:paraId="6ABF72D4" w14:textId="2C6FD7B6" w:rsidR="008B53FB" w:rsidRPr="006A5DCD" w:rsidRDefault="00787184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6036AA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ամբողջ տարածքում ասֆալտապատման և ասֆալտի  փոսային վերանորոգման աշխատանքներ</w:t>
            </w:r>
            <w:r w:rsidRPr="0078718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6036AA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приобретения работ по асфальтированию и ремонту асфальтовых ям на всей территории общины Абовян</w:t>
            </w:r>
          </w:p>
        </w:tc>
      </w:tr>
      <w:tr w:rsidR="00040EA9" w:rsidRPr="00705755" w14:paraId="50825522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0AD5B95" w14:textId="7B3EF53D" w:rsidR="00040EA9" w:rsidRPr="00705755" w:rsidRDefault="00040EA9" w:rsidP="00040E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59F3C98" w14:textId="09065DA3" w:rsidR="00040EA9" w:rsidRPr="00040EA9" w:rsidRDefault="00040EA9" w:rsidP="00040EA9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lang w:val="hy-AM"/>
              </w:rPr>
            </w:pPr>
            <w:r w:rsidRPr="00040EA9">
              <w:rPr>
                <w:rFonts w:ascii="GHEA Grapalat" w:hAnsi="GHEA Grapalat" w:cs="Sylfaen"/>
                <w:i/>
                <w:lang w:val="hy-AM"/>
              </w:rPr>
              <w:t>«Ֆ Տ Դ-ՇԻՆ» ՍՊԸ և «ԲԵՍԹ ՊԼՅՈՒՍ» ՍՊԸ</w:t>
            </w:r>
            <w:r w:rsidRPr="00040EA9"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040EA9">
              <w:rPr>
                <w:rFonts w:ascii="GHEA Grapalat" w:hAnsi="GHEA Grapalat" w:cs="Sylfaen"/>
                <w:i/>
                <w:lang w:val="hy-AM"/>
              </w:rPr>
              <w:t>ООО «Ф Т Д-ШИН» и ООО «БЕСТ ПЛЮС»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D867224" w14:textId="7EEB29D7" w:rsidR="00040EA9" w:rsidRPr="00705755" w:rsidRDefault="00040EA9" w:rsidP="00040E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  <w:lang w:val="ru-RU"/>
              </w:rPr>
              <w:t>66</w:t>
            </w:r>
            <w:r>
              <w:rPr>
                <w:rFonts w:cs="Calibri"/>
                <w:i/>
                <w:lang w:val="ru-RU"/>
              </w:rPr>
              <w:t> </w:t>
            </w:r>
            <w:r>
              <w:rPr>
                <w:rFonts w:ascii="GHEA Grapalat" w:hAnsi="GHEA Grapalat"/>
                <w:i/>
                <w:lang w:val="ru-RU"/>
              </w:rPr>
              <w:t>580 000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0DE058E1" w:rsidR="00040EA9" w:rsidRPr="00705755" w:rsidRDefault="00040EA9" w:rsidP="00040E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i/>
                <w:lang w:val="ru-RU"/>
              </w:rPr>
              <w:t>13</w:t>
            </w:r>
            <w:r>
              <w:rPr>
                <w:rFonts w:cs="Calibri"/>
                <w:i/>
                <w:lang w:val="ru-RU"/>
              </w:rPr>
              <w:t> </w:t>
            </w:r>
            <w:r>
              <w:rPr>
                <w:rFonts w:ascii="GHEA Grapalat" w:hAnsi="GHEA Grapalat"/>
                <w:i/>
                <w:lang w:val="ru-RU"/>
              </w:rPr>
              <w:t>316 000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1F59BBB2" w14:textId="0B8F7690" w:rsidR="00040EA9" w:rsidRPr="00705755" w:rsidRDefault="00040EA9" w:rsidP="00040E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  <w:lang w:val="ru-RU"/>
              </w:rPr>
              <w:t>79</w:t>
            </w:r>
            <w:r>
              <w:rPr>
                <w:rFonts w:cs="Calibri"/>
                <w:i/>
                <w:lang w:val="ru-RU"/>
              </w:rPr>
              <w:t> </w:t>
            </w:r>
            <w:r>
              <w:rPr>
                <w:rFonts w:ascii="GHEA Grapalat" w:hAnsi="GHEA Grapalat"/>
                <w:i/>
                <w:lang w:val="ru-RU"/>
              </w:rPr>
              <w:t>896 000</w:t>
            </w:r>
          </w:p>
        </w:tc>
      </w:tr>
      <w:tr w:rsidR="008B53FB" w:rsidRPr="001727BB" w14:paraId="700CD07F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C84132" w14:paraId="521126E1" w14:textId="77777777" w:rsidTr="00E32F23"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C84132" w14:paraId="552679BF" w14:textId="77777777" w:rsidTr="0072025A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72025A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Соответствие документов, 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Соответствие технической спецификации предложенного предмета закупки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B94143" w:rsidRPr="00B94143" w14:paraId="5E96A1C5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3561A12A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90EE90A" w:rsidR="00B94143" w:rsidRPr="00040EA9" w:rsidRDefault="00040EA9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040EA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«Ֆ Տ Դ-ՇԻՆ» ՍՊԸ և «ԲԵՍԹ ՊԼՅՈՒՍ» ՍՊԸ, ООО «Ф Т Д-ШИН» и ООО «БЕСТ ПЛЮС»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C84132" w14:paraId="522ACAFB" w14:textId="77777777" w:rsidTr="0072025A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0" w:type="dxa"/>
            <w:gridSpan w:val="30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8B53FB" w:rsidRPr="00C84132" w14:paraId="617248CD" w14:textId="77777777" w:rsidTr="00E32F23">
        <w:trPr>
          <w:trHeight w:val="289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72025A">
        <w:trPr>
          <w:trHeight w:val="346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2CFD07" w:rsidR="008B53FB" w:rsidRPr="00705755" w:rsidRDefault="006833C1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3</w:t>
            </w:r>
            <w:r w:rsidR="006A5DCD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0.05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C84132" w14:paraId="71BEA872" w14:textId="77777777" w:rsidTr="0072025A">
        <w:trPr>
          <w:trHeight w:val="92"/>
        </w:trPr>
        <w:tc>
          <w:tcPr>
            <w:tcW w:w="4715" w:type="dxa"/>
            <w:gridSpan w:val="16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72025A">
        <w:trPr>
          <w:trHeight w:val="92"/>
        </w:trPr>
        <w:tc>
          <w:tcPr>
            <w:tcW w:w="471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F1C49AD" w:rsidR="008B53FB" w:rsidRPr="004D2ABB" w:rsidRDefault="006833C1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36E013B" w:rsidR="008B53FB" w:rsidRPr="00623367" w:rsidRDefault="006833C1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8B53FB" w:rsidRPr="00C84132" w14:paraId="2254FA5C" w14:textId="77777777" w:rsidTr="00E32F23">
        <w:trPr>
          <w:trHeight w:val="344"/>
        </w:trPr>
        <w:tc>
          <w:tcPr>
            <w:tcW w:w="10426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7E6131E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8C7F18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31.05</w:t>
            </w:r>
            <w:r w:rsidR="00DD338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51ED2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51ED2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3C75DA26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145514F" w:rsidR="008B53FB" w:rsidRPr="00E66431" w:rsidRDefault="000A5246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13</w:t>
            </w:r>
            <w:r w:rsidR="00804FF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.06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B77D8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</w:t>
            </w:r>
            <w:r w:rsidR="00B44636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</w:p>
        </w:tc>
      </w:tr>
      <w:tr w:rsidR="008B53FB" w:rsidRPr="00705755" w14:paraId="0682C6BE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FDAC46B" w:rsidR="008B53FB" w:rsidRPr="00E66431" w:rsidRDefault="000A5246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13.06.2024</w:t>
            </w:r>
            <w:r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</w:p>
        </w:tc>
      </w:tr>
      <w:tr w:rsidR="008B53FB" w:rsidRPr="00705755" w14:paraId="79A64497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D7249E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33" w:type="dxa"/>
            <w:gridSpan w:val="29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D7249E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D7249E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D7249E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D7249E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5824E29F" w:rsidR="004F45BD" w:rsidRPr="00041562" w:rsidRDefault="000A5246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040EA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«Ֆ Տ Դ-ՇԻՆ» ՍՊԸ և «ԲԵՍԹ ՊԼՅՈՒՍ» ՍՊԸ, ООО «Ф Т Д-ШИН» и ООО «БЕСТ ПЛЮС»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183B64C" w14:textId="7ABC18C5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«ԱԲՀ-</w:t>
            </w:r>
            <w:r w:rsidR="0016513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ԳՀ</w:t>
            </w: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ԱՇՁԲ</w:t>
            </w:r>
            <w:r w:rsidR="00804FF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-24/56</w:t>
            </w: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», </w:t>
            </w:r>
            <w:r w:rsidR="00F160D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«АBH-GhAShDzB-24/</w:t>
            </w:r>
            <w:r w:rsidR="00804FF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6</w:t>
            </w:r>
            <w:r w:rsidR="00F160D3">
              <w:rPr>
                <w:rFonts w:ascii="GHEA Grapalat" w:hAnsi="GHEA Grapalat" w:cs="Sylfaen"/>
                <w:i/>
                <w:sz w:val="16"/>
                <w:szCs w:val="16"/>
              </w:rPr>
              <w:t>4</w:t>
            </w:r>
            <w:r w:rsidRPr="00E94DA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»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3FB9882B" w:rsidR="004F45BD" w:rsidRPr="007D76CC" w:rsidRDefault="00F160D3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13.06.2024</w:t>
            </w:r>
            <w:r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5596FF3B" w:rsidR="00165135" w:rsidRPr="00916D31" w:rsidRDefault="00704299" w:rsidP="009463E6">
            <w:pPr>
              <w:pStyle w:val="HTML"/>
              <w:shd w:val="clear" w:color="auto" w:fill="F8F9FA"/>
              <w:rPr>
                <w:rFonts w:ascii="GHEA Grapalat" w:hAnsi="GHEA Grapalat"/>
                <w:i/>
                <w:lang w:val="pt-BR"/>
              </w:rPr>
            </w:pPr>
            <w:r w:rsidRPr="00280134">
              <w:rPr>
                <w:rFonts w:ascii="GHEA Grapalat" w:hAnsi="GHEA Grapalat"/>
                <w:i/>
                <w:lang w:val="pt-BR"/>
              </w:rPr>
              <w:t>Պայման</w:t>
            </w:r>
            <w:r w:rsidR="00F160D3">
              <w:rPr>
                <w:rFonts w:ascii="GHEA Grapalat" w:hAnsi="GHEA Grapalat"/>
                <w:i/>
                <w:lang w:val="pt-BR"/>
              </w:rPr>
              <w:t>ագիրն ուժի մեջ մտնելու օրվանից 6</w:t>
            </w:r>
            <w:r w:rsidRPr="00280134">
              <w:rPr>
                <w:rFonts w:ascii="GHEA Grapalat" w:hAnsi="GHEA Grapalat"/>
                <w:i/>
                <w:lang w:val="pt-BR"/>
              </w:rPr>
              <w:t>0-րդ օրացուցային օրը ներառյալ</w:t>
            </w:r>
            <w:r w:rsidR="00916D31">
              <w:rPr>
                <w:rFonts w:ascii="GHEA Grapalat" w:hAnsi="GHEA Grapalat"/>
                <w:i/>
                <w:lang w:val="hy-AM"/>
              </w:rPr>
              <w:t xml:space="preserve">, </w:t>
            </w:r>
            <w:r w:rsidR="00F160D3">
              <w:rPr>
                <w:rFonts w:ascii="GHEA Grapalat" w:hAnsi="GHEA Grapalat"/>
                <w:i/>
                <w:lang w:val="pt-BR"/>
              </w:rPr>
              <w:t>В том числе по 6</w:t>
            </w:r>
            <w:r w:rsidR="00916D31" w:rsidRPr="00916D31">
              <w:rPr>
                <w:rFonts w:ascii="GHEA Grapalat" w:hAnsi="GHEA Grapalat"/>
                <w:i/>
                <w:lang w:val="pt-BR"/>
              </w:rPr>
              <w:t>0-й календарный день со дня вступления Соглашения в силу.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14:paraId="540F0BC7" w14:textId="42A10AFB" w:rsidR="004F45BD" w:rsidRPr="00BD704D" w:rsidRDefault="00B93C26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i/>
                <w:lang w:val="ru-RU"/>
              </w:rPr>
              <w:t>79</w:t>
            </w:r>
            <w:r>
              <w:rPr>
                <w:rFonts w:cs="Calibri"/>
                <w:i/>
                <w:lang w:val="ru-RU"/>
              </w:rPr>
              <w:t> </w:t>
            </w:r>
            <w:r>
              <w:rPr>
                <w:rFonts w:ascii="GHEA Grapalat" w:hAnsi="GHEA Grapalat"/>
                <w:i/>
                <w:lang w:val="ru-RU"/>
              </w:rPr>
              <w:t>896 000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043A549" w14:textId="25E840F5" w:rsidR="004F45BD" w:rsidRPr="00BD704D" w:rsidRDefault="00B93C26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i/>
                <w:lang w:val="ru-RU"/>
              </w:rPr>
              <w:t>79</w:t>
            </w:r>
            <w:r>
              <w:rPr>
                <w:rFonts w:cs="Calibri"/>
                <w:i/>
                <w:lang w:val="ru-RU"/>
              </w:rPr>
              <w:t> </w:t>
            </w:r>
            <w:r>
              <w:rPr>
                <w:rFonts w:ascii="GHEA Grapalat" w:hAnsi="GHEA Grapalat"/>
                <w:i/>
                <w:lang w:val="ru-RU"/>
              </w:rPr>
              <w:t>896 000</w:t>
            </w:r>
          </w:p>
        </w:tc>
      </w:tr>
      <w:tr w:rsidR="00354A71" w:rsidRPr="00C84132" w14:paraId="41E4ED39" w14:textId="77777777" w:rsidTr="00E268CF">
        <w:trPr>
          <w:trHeight w:val="601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C84132" w14:paraId="1F657639" w14:textId="77777777" w:rsidTr="00D7249E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B94C63" w14:paraId="20BC55B9" w14:textId="77777777" w:rsidTr="00D7249E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DD5230C" w:rsidR="00BD704D" w:rsidRPr="007051BF" w:rsidRDefault="009463E6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040EA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«Ֆ Տ Դ-ՇԻՆ» ՍՊԸ և «ԲԵՍԹ ՊԼՅՈՒՍ» ՍՊԸ, ООО «Ф Т Д-ШИН» и ООО «БЕСТ ПЛЮС»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465A04D" w:rsidR="00BD704D" w:rsidRPr="009463E6" w:rsidRDefault="009463E6" w:rsidP="00D81D7E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ՀՀ Գեղարքունիքի մարզ, գ. Լանջաղբյուր, Զ. Անդրանիկի խճ. 2-նրբ 10, 077-77-09-06, ՀՀ Գեղարքունիքի մարզ</w:t>
            </w:r>
            <w:r w:rsidRPr="009463E6">
              <w:rPr>
                <w:rFonts w:ascii="MS Mincho" w:eastAsia="MS Mincho" w:hAnsi="MS Mincho" w:cs="MS Mincho" w:hint="eastAsia"/>
                <w:i/>
                <w:sz w:val="18"/>
                <w:szCs w:val="18"/>
                <w:lang w:val="hy-AM"/>
              </w:rPr>
              <w:t>․</w:t>
            </w:r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գ Լանջաղբյուր</w:t>
            </w:r>
            <w:r w:rsidRPr="009463E6">
              <w:rPr>
                <w:rFonts w:ascii="MS Mincho" w:eastAsia="MS Mincho" w:hAnsi="MS Mincho" w:cs="MS Mincho" w:hint="eastAsia"/>
                <w:i/>
                <w:sz w:val="18"/>
                <w:szCs w:val="18"/>
                <w:lang w:val="hy-AM"/>
              </w:rPr>
              <w:t>․</w:t>
            </w:r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Դպրոցականների 4, 098-88</w:t>
            </w:r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-14-56, </w:t>
            </w:r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РА Гегаркуникский марз, гр. </w:t>
            </w:r>
            <w:proofErr w:type="spellStart"/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Ланджагбюр</w:t>
            </w:r>
            <w:proofErr w:type="spellEnd"/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, З. </w:t>
            </w:r>
            <w:proofErr w:type="spellStart"/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Андраники</w:t>
            </w:r>
            <w:proofErr w:type="spellEnd"/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ул. 2-нрб 10, 077-77-09-06, </w:t>
            </w:r>
            <w:proofErr w:type="spellStart"/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Гегаркуникская</w:t>
            </w:r>
            <w:proofErr w:type="spellEnd"/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область РА. в </w:t>
            </w:r>
            <w:proofErr w:type="spellStart"/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Ланджагбюр</w:t>
            </w:r>
            <w:proofErr w:type="spellEnd"/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: Школьников 4, 098-88-14-56,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B377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16"/>
                <w:szCs w:val="16"/>
                <w:lang w:val="hy-AM"/>
              </w:rPr>
            </w:pPr>
          </w:p>
          <w:p w14:paraId="07F71670" w14:textId="3E87820D" w:rsidR="00BD704D" w:rsidRPr="009463E6" w:rsidRDefault="009463E6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="Sylfaen"/>
                <w:i/>
                <w:sz w:val="18"/>
                <w:szCs w:val="18"/>
                <w:lang w:val="hy-AM"/>
              </w:rPr>
            </w:pPr>
            <w:hyperlink r:id="rId8" w:history="1">
              <w:r w:rsidRPr="009463E6">
                <w:rPr>
                  <w:rFonts w:ascii="GHEA Grapalat" w:hAnsi="GHEA Grapalat" w:cs="Sylfaen"/>
                  <w:i/>
                  <w:sz w:val="18"/>
                  <w:szCs w:val="18"/>
                  <w:lang w:val="hy-AM"/>
                </w:rPr>
                <w:t>ftd-shin@mail.ru</w:t>
              </w:r>
            </w:hyperlink>
            <w:r w:rsidRPr="009463E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, bestplyus2022@gmail.com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5D0BE07" w:rsidR="00BD704D" w:rsidRPr="00D81D7E" w:rsidRDefault="00BD704D" w:rsidP="00D81D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 w:rsidR="00D81D7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220083335475000</w:t>
            </w:r>
            <w:r w:rsidR="00D81D7E"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r w:rsidR="00D81D7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ՀՀ-220083335582000</w:t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E66F889" w:rsidR="00BD704D" w:rsidRPr="00B94C63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D81D7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08423322, </w:t>
            </w:r>
            <w:r w:rsidR="00D81D7E"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D81D7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00494183</w:t>
            </w:r>
            <w:bookmarkStart w:id="1" w:name="_GoBack"/>
            <w:bookmarkEnd w:id="1"/>
          </w:p>
        </w:tc>
      </w:tr>
      <w:tr w:rsidR="00354A71" w:rsidRPr="00B94C63" w14:paraId="496A046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C84132" w14:paraId="3863A00B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C84132" w14:paraId="485BF528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C84132" w14:paraId="7DB42300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lastRenderedPageBreak/>
              <w:t>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C84132" w14:paraId="3CC8B38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C84132" w14:paraId="5484FA73" w14:textId="77777777" w:rsidTr="0072025A">
        <w:trPr>
          <w:trHeight w:val="475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84132" w14:paraId="5A7FED5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84132" w14:paraId="40B30E88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84132" w14:paraId="541BD7F7" w14:textId="77777777" w:rsidTr="00E32F23">
        <w:trPr>
          <w:trHeight w:val="288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84132" w14:paraId="4DE14D25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84132" w14:paraId="1DAD5D5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84132" w14:paraId="5F667D89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C84132" w14:paraId="406B68D6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C84132" w14:paraId="1A2BD291" w14:textId="77777777" w:rsidTr="00E32F23">
        <w:trPr>
          <w:trHeight w:val="227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C84132" w14:paraId="002AF1AD" w14:textId="77777777" w:rsidTr="0072025A">
        <w:trPr>
          <w:trHeight w:val="47"/>
        </w:trPr>
        <w:tc>
          <w:tcPr>
            <w:tcW w:w="27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72025A">
        <w:trPr>
          <w:trHeight w:val="47"/>
        </w:trPr>
        <w:tc>
          <w:tcPr>
            <w:tcW w:w="2767" w:type="dxa"/>
            <w:gridSpan w:val="7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7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3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9FB6D" w14:textId="77777777" w:rsidR="005D77A0" w:rsidRDefault="005D77A0" w:rsidP="0022631D">
      <w:pPr>
        <w:spacing w:before="0" w:after="0"/>
      </w:pPr>
      <w:r>
        <w:separator/>
      </w:r>
    </w:p>
  </w:endnote>
  <w:endnote w:type="continuationSeparator" w:id="0">
    <w:p w14:paraId="73FAD50C" w14:textId="77777777" w:rsidR="005D77A0" w:rsidRDefault="005D77A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79312" w14:textId="77777777" w:rsidR="005D77A0" w:rsidRDefault="005D77A0" w:rsidP="0022631D">
      <w:pPr>
        <w:spacing w:before="0" w:after="0"/>
      </w:pPr>
      <w:r>
        <w:separator/>
      </w:r>
    </w:p>
  </w:footnote>
  <w:footnote w:type="continuationSeparator" w:id="0">
    <w:p w14:paraId="2E7B7956" w14:textId="77777777" w:rsidR="005D77A0" w:rsidRDefault="005D77A0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7F3B"/>
    <w:rsid w:val="00086DFD"/>
    <w:rsid w:val="00091D06"/>
    <w:rsid w:val="00093C0A"/>
    <w:rsid w:val="000A2E2B"/>
    <w:rsid w:val="000A5246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60A7B"/>
    <w:rsid w:val="0027072A"/>
    <w:rsid w:val="002722CD"/>
    <w:rsid w:val="002813E6"/>
    <w:rsid w:val="00295B92"/>
    <w:rsid w:val="002B3248"/>
    <w:rsid w:val="002C50E6"/>
    <w:rsid w:val="002D6A67"/>
    <w:rsid w:val="002E4E6F"/>
    <w:rsid w:val="002F16CC"/>
    <w:rsid w:val="002F1FEB"/>
    <w:rsid w:val="00311163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C36"/>
    <w:rsid w:val="00394E3E"/>
    <w:rsid w:val="00395A74"/>
    <w:rsid w:val="00395EEF"/>
    <w:rsid w:val="003B2758"/>
    <w:rsid w:val="003C212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6C2C"/>
    <w:rsid w:val="00573148"/>
    <w:rsid w:val="005737F9"/>
    <w:rsid w:val="0058251F"/>
    <w:rsid w:val="00585422"/>
    <w:rsid w:val="00585642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6029D1"/>
    <w:rsid w:val="006036AA"/>
    <w:rsid w:val="00607C9A"/>
    <w:rsid w:val="00611B61"/>
    <w:rsid w:val="00623367"/>
    <w:rsid w:val="006235CE"/>
    <w:rsid w:val="00627C43"/>
    <w:rsid w:val="00635F2C"/>
    <w:rsid w:val="00646760"/>
    <w:rsid w:val="00654F44"/>
    <w:rsid w:val="006833C1"/>
    <w:rsid w:val="00683AAC"/>
    <w:rsid w:val="00690ECB"/>
    <w:rsid w:val="00692B3F"/>
    <w:rsid w:val="006A2FBE"/>
    <w:rsid w:val="006A38B4"/>
    <w:rsid w:val="006A5DCD"/>
    <w:rsid w:val="006B2E21"/>
    <w:rsid w:val="006C0266"/>
    <w:rsid w:val="006D4CC0"/>
    <w:rsid w:val="006D7DE6"/>
    <w:rsid w:val="006E0D92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548C"/>
    <w:rsid w:val="007472D9"/>
    <w:rsid w:val="0075418B"/>
    <w:rsid w:val="007732E7"/>
    <w:rsid w:val="0078474B"/>
    <w:rsid w:val="0078682E"/>
    <w:rsid w:val="00787184"/>
    <w:rsid w:val="007B3092"/>
    <w:rsid w:val="007B44A4"/>
    <w:rsid w:val="007B4A51"/>
    <w:rsid w:val="007C6D46"/>
    <w:rsid w:val="007D76CC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3F86"/>
    <w:rsid w:val="008A2B66"/>
    <w:rsid w:val="008B078C"/>
    <w:rsid w:val="008B53FB"/>
    <w:rsid w:val="008B77D8"/>
    <w:rsid w:val="008C1EE7"/>
    <w:rsid w:val="008C429A"/>
    <w:rsid w:val="008C4E62"/>
    <w:rsid w:val="008C7F18"/>
    <w:rsid w:val="008D4C9D"/>
    <w:rsid w:val="008D6EC3"/>
    <w:rsid w:val="008E3031"/>
    <w:rsid w:val="008E493A"/>
    <w:rsid w:val="008F3408"/>
    <w:rsid w:val="008F38AF"/>
    <w:rsid w:val="00916D31"/>
    <w:rsid w:val="00924337"/>
    <w:rsid w:val="00924683"/>
    <w:rsid w:val="00925D63"/>
    <w:rsid w:val="00942C68"/>
    <w:rsid w:val="009446C3"/>
    <w:rsid w:val="009463E6"/>
    <w:rsid w:val="00951ED2"/>
    <w:rsid w:val="0095393D"/>
    <w:rsid w:val="00956188"/>
    <w:rsid w:val="00982459"/>
    <w:rsid w:val="00984D92"/>
    <w:rsid w:val="00992B23"/>
    <w:rsid w:val="00995DC8"/>
    <w:rsid w:val="00997D92"/>
    <w:rsid w:val="009C5E0F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6202"/>
    <w:rsid w:val="00C84132"/>
    <w:rsid w:val="00C84DF7"/>
    <w:rsid w:val="00C96337"/>
    <w:rsid w:val="00C96BED"/>
    <w:rsid w:val="00CB44D2"/>
    <w:rsid w:val="00CC14B6"/>
    <w:rsid w:val="00CC1F23"/>
    <w:rsid w:val="00CC37A2"/>
    <w:rsid w:val="00CD1C6F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80C64"/>
    <w:rsid w:val="00D81D7E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7246"/>
    <w:rsid w:val="00E243EA"/>
    <w:rsid w:val="00E26139"/>
    <w:rsid w:val="00E268CF"/>
    <w:rsid w:val="00E32F23"/>
    <w:rsid w:val="00E33A25"/>
    <w:rsid w:val="00E34A1A"/>
    <w:rsid w:val="00E34D57"/>
    <w:rsid w:val="00E4188B"/>
    <w:rsid w:val="00E43D9C"/>
    <w:rsid w:val="00E44269"/>
    <w:rsid w:val="00E54C4D"/>
    <w:rsid w:val="00E56328"/>
    <w:rsid w:val="00E66431"/>
    <w:rsid w:val="00E86400"/>
    <w:rsid w:val="00E87626"/>
    <w:rsid w:val="00E94DA3"/>
    <w:rsid w:val="00EA01A2"/>
    <w:rsid w:val="00EA568C"/>
    <w:rsid w:val="00EA767F"/>
    <w:rsid w:val="00EB3778"/>
    <w:rsid w:val="00EB59EE"/>
    <w:rsid w:val="00EC371E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259BE"/>
    <w:rsid w:val="00F261F4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C11DF"/>
    <w:rsid w:val="00FC3F80"/>
    <w:rsid w:val="00FE34C5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d-sh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B760-2BE2-4B7A-832D-A9C016C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311</cp:revision>
  <cp:lastPrinted>2021-04-06T07:47:00Z</cp:lastPrinted>
  <dcterms:created xsi:type="dcterms:W3CDTF">2021-06-28T12:08:00Z</dcterms:created>
  <dcterms:modified xsi:type="dcterms:W3CDTF">2024-06-14T06:15:00Z</dcterms:modified>
</cp:coreProperties>
</file>