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>
      <w:pPr>
        <w:spacing w:before="0" w:after="0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/>
          <w:b/>
          <w:szCs w:val="24"/>
          <w:lang w:val="af-ZA"/>
        </w:rPr>
        <w:t>ОБЪЯВЛЕНИЕ</w:t>
      </w:r>
    </w:p>
    <w:p>
      <w:pPr>
        <w:spacing w:before="0" w:after="0"/>
        <w:jc w:val="center"/>
        <w:rPr>
          <w:rFonts w:ascii="GHEA Grapalat" w:hAnsi="GHEA Grapalat"/>
          <w:b/>
          <w:szCs w:val="24"/>
          <w:lang w:val="af-ZA"/>
        </w:rPr>
      </w:pPr>
      <w:r>
        <w:rPr>
          <w:rFonts w:ascii="GHEA Grapalat" w:hAnsi="GHEA Grapalat"/>
          <w:b/>
          <w:szCs w:val="24"/>
          <w:lang w:val="af-ZA"/>
        </w:rPr>
        <w:t>о заключенном договоре</w:t>
      </w:r>
    </w:p>
    <w:p>
      <w:pPr>
        <w:spacing w:before="0" w:after="0"/>
        <w:jc w:val="center"/>
        <w:rPr>
          <w:rFonts w:ascii="GHEA Grapalat" w:hAnsi="GHEA Grapalat" w:cs="Sylfaen"/>
          <w:b/>
          <w:szCs w:val="24"/>
          <w:lang w:val="af-ZA"/>
        </w:rPr>
      </w:pPr>
    </w:p>
    <w:p>
      <w:pPr>
        <w:spacing w:before="0" w:after="0"/>
        <w:ind w:left="-540" w:firstLine="45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Պատվիրատուն՝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աշխատանքի և սոցիալական հարցերի նախարարությունը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ք.Երևան, Կառավարական տուն 3 հասցեում,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 կարիքների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կայքերի արդիականացման ծառայությունների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 ԱՍՀՆ-ԳՀԾՁԲ-24/6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p>
      <w:pPr>
        <w:spacing w:before="0" w:after="0"/>
        <w:ind w:left="-540" w:firstLine="45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Вышестоящий заказчик, Министерство труда и социальных дел Республики Армения, расположенный по адресу: Дом правительства, 3, Ереван, представляет следующие документы в результате закупочной процедуры с кодом ԱՍՀՆ-ԳՀԾՁԲ-24/6, организованной для закупка Услуги по обновлению веб-сайтов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для нужд․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265"/>
        <w:gridCol w:w="25"/>
        <w:gridCol w:w="695"/>
        <w:gridCol w:w="66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Предмет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закупки</w:t>
            </w:r>
            <w:proofErr w:type="spellEnd"/>
          </w:p>
        </w:tc>
      </w:tr>
      <w:tr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  <w:proofErr w:type="spellEnd"/>
          </w:p>
        </w:tc>
        <w:tc>
          <w:tcPr>
            <w:tcW w:w="1538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наименование</w:t>
            </w:r>
            <w:proofErr w:type="spellEnd"/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единица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измерения</w:t>
            </w:r>
            <w:proofErr w:type="spellEnd"/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  <w: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количество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сметная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цена</w:t>
            </w:r>
            <w:proofErr w:type="spellEnd"/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краткое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описание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техническая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характеристика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краткое описание (техническая характеристика), предусмотренное по договору</w:t>
            </w:r>
          </w:p>
        </w:tc>
      </w:tr>
      <w:tr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538" w:type="dxa"/>
            <w:gridSpan w:val="4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по имеющимся финансовым средствам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 /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драмов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РА/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50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по имеющимся финансовым средствам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72212300/503</w:t>
            </w:r>
          </w:p>
          <w:p>
            <w:pPr>
              <w:ind w:left="346" w:hanging="18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Կայքերի արդիականացման ծառայություններ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>
            <w:pPr>
              <w:ind w:left="346" w:hanging="180"/>
              <w:jc w:val="center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Услуги по обновлению веб-сайтов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590000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I.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ՄԱՏՈՒՑՎՈՂ ԾԱՌԱՅՈՒԹՅՈՒՆՆԵՐԻ ՆԿԱՐԱԳԻՐ**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1.1. ՀՀ աշխատանքի և սոցիալական հարցերի նախարարությանն են վերապահված  գործառույթներ, որոնք ուղղակիորեն առնչվում են հանրության լայն հատվածների ու հետաքրքրությունների հետ: Մասնավորապես, նախարարությունը մի շարք ոլորտներում հանդես է գալիս որպես ծառայություն մատուցող և կարգավորող մարմին, և մտադիր է սույն տեխնիկական բնութագրով ներկայացված առաջադրանքով շարադրված միջոցառումներով նպաստել թե՛ հանրային իրազեկման մակարդակի, թե՛ ծառայությունների մատուցման արդյունավետության բարձրացմանը: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1.2. Հանրային իրազեկմանն ուղղված քայլերի նպատակն է թափանցիկ ու տեսանելի դարձնել նախարարության գործունեությունը, բարձրացնել ծառայություններից օգտվելու քաղաքացիների տեղեկացվածության մակարդակը, հասանելի դարձնել սեփական իրավունքների մասին տեղեկատվությունն ու ծանոթացնել ստեղծված նոր հնարավորություններին: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1.3. Հաշվի առնելով վերոգրյալը` աշխատանքի և սոցիալական պաշտպանության ոլորտում նախարարության կողմից իրականացվող ծրագրերի և աշխատանքների լուսաբանման վերլուծությունների ամփոփ նկարագիրն ունենալու և հետագայում սոցիալական պաշտպանության ոլորտի մշտադիտարկման նպատակով որոշվել է ձեռքբերել վերլուծությունների ծառայություն։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II. ՆՊԱՏԱԿ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2.1 Սույն տեխնիկական բնութագրով պահանջվող առաջադրանքի հիմնական նպատակն է.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Աշխատանքի և սոցիալական պաշտպանության ոլորտի քաղաքականության, պետական 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lastRenderedPageBreak/>
              <w:t xml:space="preserve">ծրագրերի, իրավական ակտերի,  նախարարության կողմից մատուցվող ծառայությունների և քաղաքացիական իրավունքների իրագործման հնարավորությունների վերաբերյալ հայկական էլեկտրոնային մամուլում լուսաբանված նյութերի մշտադիտարկում և վերլուծությունների ամփոփում։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III. ԾԱՌԱՅՈՒԹՅՈՒՆՆԵՐԻ ԾԱՎԱԼԸ, ԱՇԽԱՏԱՆՔԻ ՄԵԹՈԴԱԲԱՆՈՒԹՅՈՒՆԸ ԵՎ ՏԵԽՆԻԿԱԿԱՆ ԲՆՈՒԹԱԳՐՈՎ ՊԱՀԱՆՋՎՈՂ ԱՌԱՋԱԴՐԱՆՔԻ ԻՐԱԿԱՆԱՑՄԱՆ ԵՂԱՆԱԿՆԵՐ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1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Ծառայությունների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մատուցումը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իրականացվի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Պատվիրատուին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մեդիամոնիթորինգի, տվյալների վերլուծության և գնահատման ծառայությունների համար նախատեսված համակարգում համապատասխան օգտահաշիվ տրամադրելու միջոցով, որին ավտոմատացված կարգով կուղղվեն հրապարակումների մոնիթորինգի տվյալները: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2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Համակարգը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աշխատի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Պատվիրատուի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պահանջներին համապատասխան բանալի բառերի հիման վրա: Համակարգը պետք է ճկուն լինի բանալի – բառերի ցանկում՝ Պատվիրատուի պահանջներին համապատասխան։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3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Պատվիրատուն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կարողանա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տեսնել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և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ուսումնասիրել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որոնման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արդյունքում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գտնված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հրապարակումների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վերնագրերը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տեքս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տը և ակտիվ հղումներով անցնել դեպի հրապարակումների սկզբնաղբյուր, ինչպես նաև տեսնել հրապարակումների ամսաթվերը։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4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Մոնիթորինգի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նպատակով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համակարգը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ներառի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ավելի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քան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100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առցանց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լրատվամիջոց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այդ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թվում՝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1in.am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Blognews.am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News.am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Tert.am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168.am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A1plus.am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Aravot.am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Armenpress.am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Armlur.am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Asekose.am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Azatutyun.am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Bravo.am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Civilnet.am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Galatv.am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Mediamax.am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Henaran.am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Hetq.am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Hraparak.am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Lragir.am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Lurer.com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Mamul.am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Panarmenian.net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Panorama.am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Shamshyan.com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lastRenderedPageBreak/>
              <w:t>25.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Slaq.am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Times.am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7or.am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Analitik.am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Araratnews.am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Arka.am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Armcrimenews.com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Arminfo.info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Armradio.am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Armtimes.com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Armtoday.info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Artsakhpress.am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Asparez.am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Aysor.am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B24.am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Banker.am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Banks.am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Epress.am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Finport.am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Golosarmenii.am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Hartak.am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Hayeli.am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Ilur.am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Irakan.info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Irates.am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Iravaban.net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Iravunk.com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Life.Panorama.am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Newsarmenia.ru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Newsbook.am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Newspress.am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Nt.am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Operativ.am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Orer.am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Past.am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Pastinfo.am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Politik.am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Replik.am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Shabat.am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Shame.am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Sputnik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lastRenderedPageBreak/>
              <w:t>armenia.ru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Xnews.am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Yerkir.am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Zham.am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Ankakh.com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70.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Yn.am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71.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 xml:space="preserve">Armdaily.am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72.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 xml:space="preserve">Mediahub.am և այլն: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Համակարգը ճկուն է ԶԼՄ-ների ցանկում՝ Պատվիրատուի պահանջներին համապատասխան, փոփոխությունների իրականացնելու առումով: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5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Համակարգը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հնարավորություն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ընձեռի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ուղիղ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հղումով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անցնելու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դեպի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համապատասխան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լրատվամիջոցում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հրապարակված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նյո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ւթի ֆեյսբուքյան գրառում՝ մեկնաբանություններին ծանոթանալու նպատակով: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6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Փաթեթի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հնարավորությունները՝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10 բանալի բառ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3 որոնման պրոֆիլ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Բառերի փոփոխում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Ծանուցում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 xml:space="preserve">Ավտոմատացված ինֆոգրաֆիկա՝ հրապարակումների թվի մասին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IV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ՄԱՍՆԱԿՑԻ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ՊԱՐՏԱԿԱՆՈՒԹՅՈՒՆՆԵՐ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1 Ընտրված մասնակիցը պետք է տրամադրի Ինտերնետային կայքում տեղադրված՝ որոնման տարբեր սկզբունքների համակցմամբ Մեդիա տեղեկատվության որոնման համակարգ, ապահովի որոնման համակարգի անվտանգ շահագործումն ու տեղեկատվության անվտանգությունն ապահովելու համար։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2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Ընտրված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մասնակիցը Պատվիրատուի պահանջով պետք է իրականացնի ՀՀ աշխատանքի սոցիալական հարցերի նախարարության գործունեությանն առնչվող հարցերով հայկական լրատվական կայքերի հրապարակումների մոնիթորինգի ծառայությունների ծրագրային ապահովում: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V. ԱՇԽԱՏԱՆՔԻ ԿԱՏԱՐՄԱՆ և ՎՃԱՐՄԱՆ ԺԱՄԱՆԱԿԱՑՈՒՅՑ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5.1. Սույն առաջադրանքի կատարման համար նախատեսված ժամանակահատվածը ներառում է հիշատակված գործողությունների պատրաստումն ու ներկայացումը պատվիրատուին: Նախատեսվում է, որ ընտրված մասնակիցը պետք է նշանակի ծրագրի ղեկավար (որը պետք է օժտված լինի համապատասխան լիազորություններով)՝ պայմանագրի իրականացման ամբողջ ընթացքի համար: Ծրագրված է, որ այս առաջադրանքի իրականացումը նախատեսվում է ավարտել մինչև 2024 թվականի դեկտեմբերի 25-ը: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Պատվիրատուի կողմից մատուցվող Ծառայությունը ընդունվում է և դրա դիմաց վճարվում է ըստ փաստացի մատուցված Ծառայության չափի (ամսական կտրվածքով):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lastRenderedPageBreak/>
              <w:t>I.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ՄԱՏՈՒՑՎՈՂ ԾԱՌԱՅՈՒԹՅՈՒՆՆԵՐԻ ՆԿԱՐԱԳԻՐ**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1.1. ՀՀ աշխատանքի և սոցիալական հարցերի նախարարությանն են վերապահված  գործառույթներ, որոնք ուղղակիորեն առնչվում են հանրության լայն հատվածների ու հետաքրքրությունների հետ: Մասնավորապես, նախարարությունը մի շարք ոլորտներում հանդես է գալիս որպես ծառայություն մատուցող և կարգավորող մարմին, և մտադիր է սույն տեխնիկական բնութագրով ներկայացված առաջադրանքով շարադրված միջոցառումներով նպաստել թե՛ հանրային իրազեկման մակարդակի, թե՛ ծառայությունների մատուցման արդյունավետության բարձրացմանը: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1.2. Հանրային իրազեկմանն ուղղված քայլերի նպատակն է թափանցիկ ու տեսանելի դարձնել նախարարության գործունեությունը, բարձրացնել ծառայություններից օգտվելու քաղաքացիների տեղեկացվածության մակարդակը, հասանելի դարձնել սեփական իրավունքների մասին տեղեկատվությունն ու ծանոթացնել ստեղծված նոր հնարավորություններին: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1.3. Հաշվի առնելով վերոգրյալը` աշխատանքի և սոցիալական պաշտպանության ոլորտում նախարարության կողմից իրականացվող ծրագրերի և աշխատանքների լուսաբանման վերլուծությունների ամփոփ նկարագիրն ունենալու և հետագայում սոցիալական պաշտպանության ոլորտի մշտադիտարկման նպատակով որոշվել է ձեռքբերել վերլուծությունների ծառայություն։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II. ՆՊԱՏԱԿ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2.1 Սույն տեխնիկական բնութագրով պահանջվող առաջադրանքի հիմնական նպատակն է.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Աշխատանքի և սոցիալական պաշտպանության ոլորտի քաղաքականության, պետական 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lastRenderedPageBreak/>
              <w:t xml:space="preserve">ծրագրերի, իրավական ակտերի,  նախարարության կողմից մատուցվող ծառայությունների և քաղաքացիական իրավունքների իրագործման հնարավորությունների վերաբերյալ հայկական էլեկտրոնային մամուլում լուսաբանված նյութերի մշտադիտարկում և վերլուծությունների ամփոփում։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III. ԾԱՌԱՅՈՒԹՅՈՒՆՆԵՐԻ ԾԱՎԱԼԸ, ԱՇԽԱՏԱՆՔԻ ՄԵԹՈԴԱԲԱՆՈՒԹՅՈՒՆԸ ԵՎ ՏԵԽՆԻԿԱԿԱՆ ԲՆՈՒԹԱԳՐՈՎ ՊԱՀԱՆՋՎՈՂ ԱՌԱՋԱԴՐԱՆՔԻ ԻՐԱԿԱՆԱՑՄԱՆ ԵՂԱՆԱԿՆԵՐ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1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Ծառայությունների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մատուցումը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իրականացվի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Պատվիրատուին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մեդիամոն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իթորինգի, տվյալների վերլուծության և գնահատման ծառայությունների համար նախատեսված համակարգում համապատասխան օգտահաշիվ տրամադրելու միջոցով, որին ավտոմատացված կարգով կուղղվեն հրապարակումների մոնիթորինգի տվյալները: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2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Համակարգը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աշխատի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Պատվիրատուի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պահանջն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երին համապատասխան բանալի բառերի հիման վրա: Համակարգը պետք է ճկուն լինի բանալի – բառերի ցանկում՝ Պատվիրատուի պահանջներին համապատասխան։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3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Պատվիրատուն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կարողանա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տեսնել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և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ուսումնասիրել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որոնման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արդյունքում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գտնված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հրապարակումների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վերնագրերը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տեքստը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և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ակտ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իվ հղումներով անցնել դեպի հրապարակումների սկզբնաղբյուր, ինչպես նաև տեսնել հրապարակումների ամսաթվերը։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4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Մոնիթորինգի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նպատակով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համակարգը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ներառի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ավելի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քան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100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առցանց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լրատվամիջոց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այդ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թվում՝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1in.am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Blognews.am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News.am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Tert.am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168.am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A1plus.am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Aravot.am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Armenpress.am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Armlur.am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Asekose.am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Azatutyun.am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Bravo.am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Civilnet.am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Galatv.am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Mediamax.am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Henaran.am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Hetq.am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Hraparak.am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19.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Lragir.am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Lurer.com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Mamul.am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Panarmenian.net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Panorama.am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Shamshyan.com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lastRenderedPageBreak/>
              <w:t>25.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Slaq.am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Times.am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7or.am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Analitik.am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29.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Araratnews.am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Arka.am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Armcrimenews.com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Arminfo.info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Armradio.am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Armtimes.com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Armtoday.info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Artsakhpress.am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Asparez.am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Aysor.am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B24.am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Banker.am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Banks.am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Epress.am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Finport.am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Golosarmenii.am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Hartak.am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Hayeli.am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Ilur.am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Irakan.info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Irates.am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Iravaban.net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Iravunk.com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Life.Panorama.am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Newsarmenia.ru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Newsbook.am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Newspress.am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Nt.am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Operativ.am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Orer.am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59.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Past.am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Pastinfo.am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Politik.am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Replik.am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63.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Shabat.am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64.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Shame.am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65.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Sputnikarmenia.ru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66.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Xnews.am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lastRenderedPageBreak/>
              <w:t>67.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Yerkir.am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68.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Zham.am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69.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Ankakh.com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70.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Yn.am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71.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 xml:space="preserve">Armdaily.am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72.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 xml:space="preserve">Mediahub.am և այլն: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Համակարգը ճկուն է ԶԼՄ-ների ցանկում՝ Պատվիրատուի պահանջներին համապատասխան, փոփոխությունների իրականացնելու առումով: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5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Համակարգը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հնարավորություն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ընձեռի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ուղիղ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հղումով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անցնելու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դեպի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համապատասխան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լրատվամիջոցում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հրապարակված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նյութի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ֆեյսբուքյան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գրառում՝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մեկնաբ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անություններին ծանոթանալու նպատակով: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6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Փաթեթի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հնարավորությունները՝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10 բանալի բառ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3 որոնման պրոֆիլ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Բառերի փոփոխում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>Ծանուցում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ab/>
              <w:t xml:space="preserve">Ավտոմատացված ինֆոգրաֆիկա՝ հրապարակումների թվի մասին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IV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ՄԱՍՆԱԿՑԻ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ՊԱՐՏԱԿԱՆՈՒԹՅՈՒՆՆԵՐ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1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Ընտրված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մասնակիցը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պետք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տրամադրի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Ինտերնետային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կայքում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տեղադրված՝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որոնման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տարբեր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սկզբունքների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համակցմամբ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Մեդիա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տեղեկատվության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որոնման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համակարգ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ապահովի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որոնման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համակարգի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անվտանգ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շահագործումն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ու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տեղեկատվության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անվտանգությունն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ապահովելու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համար։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4</w:t>
            </w:r>
            <w:r>
              <w:rPr>
                <w:rFonts w:ascii="Cambria Math" w:eastAsia="Times New Roman" w:hAnsi="Cambria Math" w:cs="Cambria Math"/>
                <w:sz w:val="10"/>
                <w:szCs w:val="10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2 </w:t>
            </w:r>
            <w:r>
              <w:rPr>
                <w:rFonts w:ascii="GHEA Grapalat" w:eastAsia="Times New Roman" w:hAnsi="GHEA Grapalat" w:cs="GHEA Grapalat"/>
                <w:sz w:val="10"/>
                <w:szCs w:val="10"/>
                <w:lang w:val="hy-AM" w:eastAsia="ru-RU"/>
              </w:rPr>
              <w:t>Ընտր</w:t>
            </w: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ված մասնակիցը Պատվիրատուի պահանջով պետք է իրականացնի ՀՀ աշխատանքի սոցիալական հարցերի նախարարության գործունեությանն առնչվող հարցերով հայկական լրատվական կայքերի հրապարակումների մոնիթորինգի ծառայությունների ծրագրային ապահովում: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V. ԱՇԽԱՏԱՆՔԻ ԿԱՏԱՐՄԱՆ և ՎՃԱՐՄԱՆ ԺԱՄԱՆԱԿԱՑՈՒՅՑ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 xml:space="preserve">5.1. Սույն առաջադրանքի կատարման համար նախատեսված ժամանակահատվածը ներառում է հիշատակված գործողությունների պատրաստումն ու ներկայացումը պատվիրատուին: Նախատեսվում է, որ ընտրված մասնակիցը պետք է նշանակի ծրագրի ղեկավար (որը պետք է օժտված լինի համապատասխան լիազորություններով)՝ պայմանագրի իրականացման ամբողջ ընթացքի համար: Ծրագրված է, որ այս առաջադրանքի իրականացումը նախատեսվում է ավարտել մինչև 2024 թվականի դեկտեմբերի 25-ը: </w:t>
            </w:r>
          </w:p>
          <w:p>
            <w:pPr>
              <w:tabs>
                <w:tab w:val="left" w:pos="1248"/>
              </w:tabs>
              <w:spacing w:before="0" w:after="0"/>
              <w:ind w:left="-42" w:firstLine="0"/>
              <w:jc w:val="center"/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0"/>
                <w:szCs w:val="10"/>
                <w:lang w:val="hy-AM" w:eastAsia="ru-RU"/>
              </w:rPr>
              <w:t>Պատվիրատուի կողմից մատուցվող Ծառայությունը ընդունվում է և դրա դիմաց վճարվում է ըստ փաստացի մատուցված Ծառայության չափի (ամսական կտրվածքով):</w:t>
            </w:r>
          </w:p>
        </w:tc>
      </w:tr>
      <w:tr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790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Էլեկտրոնային աճուրդի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CPV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կոդերում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չէր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։Գնումների մասին օրենքի 22-րդ հոդվածի համապատասխան։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Отсутствует в кодах CPV электронного аукциона В соответствии со статьей 22 Закона о закупках.</w:t>
            </w:r>
          </w:p>
        </w:tc>
      </w:tr>
      <w:tr>
        <w:trPr>
          <w:trHeight w:val="43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Дата направления или опубликования приглашения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2023-10-27</w:t>
            </w: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Дата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изменений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внесенных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в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приглашение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разъяснений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относительно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приглашения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Получения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запроса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Разъяснения</w:t>
            </w:r>
            <w:proofErr w:type="spellEnd"/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П/Н</w:t>
            </w:r>
          </w:p>
        </w:tc>
        <w:tc>
          <w:tcPr>
            <w:tcW w:w="1855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Наименования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участников</w:t>
            </w:r>
            <w:proofErr w:type="spellEnd"/>
          </w:p>
        </w:tc>
        <w:tc>
          <w:tcPr>
            <w:tcW w:w="7972" w:type="dxa"/>
            <w:gridSpan w:val="2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Цена, представленная по заявке каждого участника, включая цену, представленную в результате организации одновременных переговоров /  Драмов РА</w:t>
            </w:r>
          </w:p>
        </w:tc>
      </w:tr>
      <w:tr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855" w:type="dxa"/>
            <w:gridSpan w:val="5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530" w:type="dxa"/>
            <w:gridSpan w:val="1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Цена без НДС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НДС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Всего</w:t>
            </w:r>
            <w:proofErr w:type="spellEnd"/>
          </w:p>
        </w:tc>
      </w:tr>
      <w:tr>
        <w:trPr>
          <w:trHeight w:val="83"/>
        </w:trPr>
        <w:tc>
          <w:tcPr>
            <w:tcW w:w="11212" w:type="dxa"/>
            <w:gridSpan w:val="3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</w:tr>
      <w:tr>
        <w:trPr>
          <w:trHeight w:val="50"/>
        </w:trPr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5" w:type="dxa"/>
            <w:gridSpan w:val="5"/>
            <w:shd w:val="clear" w:color="auto" w:fill="auto"/>
            <w:vAlign w:val="center"/>
          </w:tcPr>
          <w:p>
            <w:pPr>
              <w:ind w:left="-54" w:firstLine="0"/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Ռումորս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530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590000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590000</w:t>
            </w:r>
          </w:p>
        </w:tc>
      </w:tr>
      <w:tr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Данные об отклоненных заявках</w:t>
            </w:r>
          </w:p>
        </w:tc>
      </w:tr>
      <w:tr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Номер лота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Наименование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участника</w:t>
            </w:r>
            <w:proofErr w:type="spellEnd"/>
          </w:p>
        </w:tc>
        <w:tc>
          <w:tcPr>
            <w:tcW w:w="89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Результаты оценки (удовлетворительно или неудовлетворительно)</w:t>
            </w:r>
          </w:p>
        </w:tc>
      </w:tr>
      <w:t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փաստաթղթերի առկայությունը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Наличие требуемых по приглашению документов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փաստաթղթերի համապատասխանությունը հրավերով սահմանված պահանջներին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Ценовое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предложение</w:t>
            </w:r>
            <w:proofErr w:type="spellEnd"/>
          </w:p>
        </w:tc>
      </w:tr>
      <w:t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Ռումորս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Առկա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Համապատասխան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Համապատասխան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590000</w:t>
            </w:r>
          </w:p>
        </w:tc>
      </w:tr>
      <w:tr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Иные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сведения</w:t>
            </w:r>
            <w:proofErr w:type="spellEnd"/>
          </w:p>
        </w:tc>
        <w:tc>
          <w:tcPr>
            <w:tcW w:w="8957" w:type="dxa"/>
            <w:gridSpan w:val="28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Примечание: Иные основания для отклонения заявок.</w:t>
            </w:r>
          </w:p>
        </w:tc>
      </w:tr>
      <w:tr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определения отобранного участника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2023-11-14</w:t>
            </w:r>
          </w:p>
        </w:tc>
      </w:tr>
      <w:tr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Начало периода ожидания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Окончание периода ожидания</w:t>
            </w:r>
          </w:p>
        </w:tc>
      </w:tr>
      <w:tr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2023-11-15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2023-11-25</w:t>
            </w:r>
          </w:p>
        </w:tc>
      </w:tr>
      <w:tr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    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Дата извещения отобранного участника о предложении относительно заключения договора                                          2023-11-25</w:t>
            </w:r>
          </w:p>
        </w:tc>
      </w:tr>
      <w:tr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2023-11-25</w:t>
            </w:r>
          </w:p>
        </w:tc>
      </w:tr>
      <w:tr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подписания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заказчиком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2023-11-25</w:t>
            </w:r>
          </w:p>
        </w:tc>
      </w:tr>
      <w:tr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лота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Отобранный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8986" w:type="dxa"/>
            <w:gridSpan w:val="29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Договор</w:t>
            </w:r>
            <w:proofErr w:type="spellEnd"/>
          </w:p>
        </w:tc>
      </w:tr>
      <w:tr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заключения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Крайний срок исполнения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Размер предоплаты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</w:t>
            </w:r>
            <w:proofErr w:type="spellEnd"/>
          </w:p>
        </w:tc>
      </w:tr>
      <w:tr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Драмов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РА</w:t>
            </w:r>
          </w:p>
        </w:tc>
      </w:tr>
      <w:tr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По имеющимся финансовым средствам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Ռումորս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   ԱՍՀՆ-ԳՀԾՁԲ-24/6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28․12․2023թ․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25.12.2024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590000</w:t>
            </w:r>
          </w:p>
        </w:tc>
      </w:tr>
      <w:tr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Наименование и адрес отобранного участника (отобранных участников)</w:t>
            </w:r>
          </w:p>
        </w:tc>
      </w:tr>
      <w:tr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համարը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Номер лота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Отобранный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Հասցե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Банковский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lastRenderedPageBreak/>
              <w:t>УНН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Номер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серия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паспорта</w:t>
            </w:r>
          </w:p>
        </w:tc>
      </w:tr>
      <w:tr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Ռումորս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ՀՀ, ք. Երևան, Ծարավ Աղբյուրի 55/17,199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hyperlink r:id="rId8" w:history="1">
              <w:r>
                <w:rPr>
                  <w:rFonts w:ascii="GHEA Grapalat" w:eastAsia="Times New Roman" w:hAnsi="GHEA Grapalat"/>
                  <w:sz w:val="14"/>
                  <w:szCs w:val="14"/>
                  <w:lang w:val="hy-AM" w:eastAsia="ru-RU"/>
                </w:rPr>
                <w:t>director@mediamax.am</w:t>
              </w:r>
            </w:hyperlink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 </w:t>
            </w:r>
            <w: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1930055248900100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00895296</w:t>
            </w:r>
            <w:bookmarkStart w:id="0" w:name="_GoBack"/>
            <w:bookmarkEnd w:id="0"/>
          </w:p>
        </w:tc>
      </w:tr>
      <w:tr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Иные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сведения</w:t>
            </w:r>
            <w:proofErr w:type="spellEnd"/>
          </w:p>
        </w:tc>
        <w:tc>
          <w:tcPr>
            <w:tcW w:w="8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  <w:t xml:space="preserve">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Примечание: В случае, если какой-либо из лотов не состоялся, заказчик обязан заполнить сведения об этом.</w:t>
            </w:r>
          </w:p>
        </w:tc>
      </w:tr>
      <w:tr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սույն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մասով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հայտ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մասնակիցները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այնպես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գրանցում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ստացած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հասարակական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լրատվական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գործունեություն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իրականացնող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անձինք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են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պատվիրատուին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ներկայացնել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կնքված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արդյունքի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ընդունման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գործընթացին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համատեղ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մասնակցելու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գրավոր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պահանջ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սույն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հրապարակվելուց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------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օրացուցային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օրվա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ընթացքում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: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ղեկավարի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էլեկտրոնային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է  ---------------------------:</w:t>
            </w:r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vertAlign w:val="superscript"/>
                <w:lang w:eastAsia="ru-RU"/>
              </w:rPr>
              <w:footnoteReference w:id="8"/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----------  календарных</w:t>
            </w:r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дней после опубликования настоящего объявления.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 письменному требованию прилагается: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оригинал доверенности, выданный физическому лицу. При этом 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а. количество уполномоченных физических лиц не может превысить двух,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б. уполномоченное физическое лицо должно лично выполнять действия, на которые уполномочено;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Официальный адрес электронной почты руководителя ответственного подразделения заказчика---------------------------.8</w:t>
            </w:r>
          </w:p>
        </w:tc>
      </w:tr>
      <w:tr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Жалобы, поданные относительно процесса закупки, и принятые по ним решения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Другие необходимые сведения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>
        <w:trPr>
          <w:trHeight w:val="47"/>
        </w:trPr>
        <w:tc>
          <w:tcPr>
            <w:tcW w:w="32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Имя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Фамилия</w:t>
            </w:r>
            <w:proofErr w:type="spellEnd"/>
          </w:p>
        </w:tc>
        <w:tc>
          <w:tcPr>
            <w:tcW w:w="40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Телефон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почты</w:t>
            </w:r>
            <w:proofErr w:type="spellEnd"/>
          </w:p>
        </w:tc>
      </w:tr>
      <w:tr>
        <w:trPr>
          <w:trHeight w:val="47"/>
        </w:trPr>
        <w:tc>
          <w:tcPr>
            <w:tcW w:w="3240" w:type="dxa"/>
            <w:gridSpan w:val="8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Ք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 xml:space="preserve">․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Մայիլյան</w:t>
            </w:r>
          </w:p>
        </w:tc>
        <w:tc>
          <w:tcPr>
            <w:tcW w:w="4075" w:type="dxa"/>
            <w:gridSpan w:val="15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043 89 63 68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9" w:history="1">
              <w:r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kristine.mailyan@mlsa.am</w:t>
              </w:r>
            </w:hyperlink>
          </w:p>
        </w:tc>
      </w:tr>
    </w:tbl>
    <w:p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>
      <w:pgSz w:w="11907" w:h="16840" w:code="9"/>
      <w:pgMar w:top="810" w:right="567" w:bottom="284" w:left="117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8"/>
          <w:szCs w:val="8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՝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>
      <w:pPr>
        <w:pStyle w:val="FootnoteText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6443A"/>
    <w:multiLevelType w:val="hybridMultilevel"/>
    <w:tmpl w:val="6172B1E0"/>
    <w:lvl w:ilvl="0" w:tplc="04162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7723"/>
    <w:multiLevelType w:val="multilevel"/>
    <w:tmpl w:val="830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D4ED8"/>
    <w:multiLevelType w:val="hybridMultilevel"/>
    <w:tmpl w:val="10666E3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57DCE2-016C-45B1-9E70-47F8FC9B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ediamax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tine.mailyan@mls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ADEC-FC2D-4105-90BD-07201457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kristine mailyan</cp:lastModifiedBy>
  <cp:revision>99</cp:revision>
  <cp:lastPrinted>2021-12-17T10:05:00Z</cp:lastPrinted>
  <dcterms:created xsi:type="dcterms:W3CDTF">2021-06-28T12:08:00Z</dcterms:created>
  <dcterms:modified xsi:type="dcterms:W3CDTF">2023-12-29T09:09:00Z</dcterms:modified>
</cp:coreProperties>
</file>