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567"/>
        <w:jc w:val="right"/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Հավելված N 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567"/>
        <w:jc w:val="right"/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ՀՀ ֆինանսներինախարարի 2017 թվականի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567"/>
        <w:jc w:val="right"/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մայիսի30-ի N 265-Ա  հրամանի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 Unicode" w:cs="Arial Unicode" w:eastAsia="Arial Unicode" w:hAnsi="Arial Unicod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" w:cs="Arial Unicode" w:eastAsia="Arial Unicode" w:hAnsi="Arial Unicod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" w:cs="Arial Unicode" w:eastAsia="Arial Unicode" w:hAnsi="Arial Unicode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Օրինակելիձև</w:t>
      </w:r>
    </w:p>
    <w:p w:rsidR="00000000" w:rsidDel="00000000" w:rsidP="00000000" w:rsidRDefault="00000000" w:rsidRPr="00000000" w14:paraId="00000007">
      <w:pPr>
        <w:jc w:val="center"/>
        <w:rPr>
          <w:rFonts w:ascii="Microsoft New Tai Lue" w:cs="Microsoft New Tai Lue" w:eastAsia="Microsoft New Tai Lue" w:hAnsi="Microsoft New Tai L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icrosoft New Tai Lue" w:cs="Microsoft New Tai Lue" w:eastAsia="Microsoft New Tai Lue" w:hAnsi="Microsoft New Tai Lue"/>
          <w:b w:val="1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b w:val="1"/>
          <w:sz w:val="20"/>
          <w:szCs w:val="20"/>
          <w:rtl w:val="0"/>
        </w:rPr>
        <w:t xml:space="preserve">ՀԱՅՏԱՐԱՐՈՒԹՅՈՒՆ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icrosoft New Tai Lue" w:cs="Microsoft New Tai Lue" w:eastAsia="Microsoft New Tai Lue" w:hAnsi="Microsoft New Tai Lue"/>
          <w:b w:val="1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b w:val="1"/>
          <w:sz w:val="20"/>
          <w:szCs w:val="20"/>
          <w:rtl w:val="0"/>
        </w:rPr>
        <w:t xml:space="preserve">հրավերում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b w:val="1"/>
          <w:sz w:val="20"/>
          <w:szCs w:val="20"/>
          <w:rtl w:val="0"/>
        </w:rPr>
        <w:t xml:space="preserve">փոփոխություններ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b w:val="1"/>
          <w:sz w:val="20"/>
          <w:szCs w:val="20"/>
          <w:rtl w:val="0"/>
        </w:rPr>
        <w:t xml:space="preserve">կատարելու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b w:val="1"/>
          <w:sz w:val="20"/>
          <w:szCs w:val="20"/>
          <w:rtl w:val="0"/>
        </w:rPr>
        <w:t xml:space="preserve">մասին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icrosoft New Tai Lue" w:cs="Microsoft New Tai Lue" w:eastAsia="Microsoft New Tai Lue" w:hAnsi="Microsoft New Tai L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ind w:firstLine="0"/>
        <w:rPr>
          <w:rFonts w:ascii="Microsoft New Tai Lue" w:cs="Microsoft New Tai Lue" w:eastAsia="Microsoft New Tai Lue" w:hAnsi="Microsoft New Tai Lue"/>
          <w:b w:val="0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Հայտարարության սույն տեքստը հաստատված է գնահատող հանձնաժողովի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ind w:firstLine="0"/>
        <w:rPr>
          <w:rFonts w:ascii="Microsoft New Tai Lue" w:cs="Microsoft New Tai Lue" w:eastAsia="Microsoft New Tai Lue" w:hAnsi="Microsoft New Tai Lue"/>
          <w:b w:val="0"/>
          <w:sz w:val="20"/>
          <w:szCs w:val="20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 2021 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թվականի ապրիլի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 29-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ի թիվ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 04 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որոշմամբ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և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հրապարակվում 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ind w:firstLine="0"/>
        <w:rPr>
          <w:rFonts w:ascii="Microsoft New Tai Lue" w:cs="Microsoft New Tai Lue" w:eastAsia="Microsoft New Tai Lue" w:hAnsi="Microsoft New Tai Lue"/>
          <w:b w:val="0"/>
          <w:sz w:val="20"/>
          <w:szCs w:val="20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Գնումների մասին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” 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ՀՀօրենքի</w:t>
      </w:r>
      <w:r w:rsidDel="00000000" w:rsidR="00000000" w:rsidRPr="00000000">
        <w:rPr>
          <w:rFonts w:ascii="Microsoft New Tai Lue" w:cs="Microsoft New Tai Lue" w:eastAsia="Microsoft New Tai Lue" w:hAnsi="Microsoft New Tai Lue"/>
          <w:b w:val="0"/>
          <w:sz w:val="20"/>
          <w:szCs w:val="20"/>
          <w:rtl w:val="0"/>
        </w:rPr>
        <w:t xml:space="preserve"> 29-</w:t>
      </w:r>
      <w:r w:rsidDel="00000000" w:rsidR="00000000" w:rsidRPr="00000000">
        <w:rPr>
          <w:rFonts w:ascii="Arial Unicode" w:cs="Arial Unicode" w:eastAsia="Arial Unicode" w:hAnsi="Arial Unicode"/>
          <w:b w:val="0"/>
          <w:sz w:val="20"/>
          <w:szCs w:val="20"/>
          <w:rtl w:val="0"/>
        </w:rPr>
        <w:t xml:space="preserve">րդհոդվածի համաձայն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ind w:firstLine="0"/>
        <w:rPr>
          <w:rFonts w:ascii="Microsoft New Tai Lue" w:cs="Microsoft New Tai Lue" w:eastAsia="Microsoft New Tai Lue" w:hAnsi="Microsoft New Tai Lue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Ընթացակարգի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ծածկագիրը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ԼՄԴՀ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ԳՀԱՊՁԲ</w:t>
      </w:r>
      <w:r w:rsidDel="00000000" w:rsidR="00000000" w:rsidRPr="00000000">
        <w:rPr>
          <w:rtl w:val="0"/>
        </w:rPr>
        <w:t xml:space="preserve"> 21/0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</w:p>
    <w:p w:rsidR="00000000" w:rsidDel="00000000" w:rsidP="00000000" w:rsidRDefault="00000000" w:rsidRPr="00000000" w14:paraId="00000010">
      <w:pPr>
        <w:pStyle w:val="Heading3"/>
        <w:ind w:firstLine="0"/>
        <w:rPr>
          <w:rFonts w:ascii="Microsoft New Tai Lue" w:cs="Microsoft New Tai Lue" w:eastAsia="Microsoft New Tai Lue" w:hAnsi="Microsoft New Tai Lue"/>
          <w:b w:val="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360" w:lineRule="auto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Դսեղի համայնքապետարանի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կարիքների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համար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գյուղտեխնիկայի ձեռք բերման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նպատակով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կազմակերպված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ԼՄԴՀ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ԳՀԱՊՁԲ</w:t>
      </w:r>
      <w:r w:rsidDel="00000000" w:rsidR="00000000" w:rsidRPr="00000000">
        <w:rPr>
          <w:rtl w:val="0"/>
        </w:rPr>
        <w:t xml:space="preserve"> 21/0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ծածկագրով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գնման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ընթացակարգի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գնահատող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հանձնաժողովը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ստորև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ներկայացնում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է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նույն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ծածկագրով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հրավերում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կատարված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փոփոխության պատճառները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և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կատարված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փոփոխությունների համառոտ նկարագրությունը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`</w:t>
      </w:r>
    </w:p>
    <w:p w:rsidR="00000000" w:rsidDel="00000000" w:rsidP="00000000" w:rsidRDefault="00000000" w:rsidRPr="00000000" w14:paraId="00000013">
      <w:pPr>
        <w:ind w:firstLine="709"/>
        <w:rPr>
          <w:rFonts w:ascii="Microsoft New Tai Lue" w:cs="Microsoft New Tai Lue" w:eastAsia="Microsoft New Tai Lue" w:hAnsi="Microsoft New Tai Lue"/>
          <w:sz w:val="20"/>
          <w:szCs w:val="20"/>
          <w:u w:val="single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Փոփոխության առաջացման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պատճառ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Սուբվենցիայի փաթեթում փոփոխություն կատարելու պատճառով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rPr>
          <w:rFonts w:ascii="Microsoft New Tai Lue" w:cs="Microsoft New Tai Lue" w:eastAsia="Microsoft New Tai Lue" w:hAnsi="Microsoft New Tai L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ab/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rPr>
          <w:rFonts w:ascii="Microsoft New Tai Lue" w:cs="Microsoft New Tai Lue" w:eastAsia="Microsoft New Tai Lue" w:hAnsi="Microsoft New Tai Lue"/>
          <w:sz w:val="20"/>
          <w:szCs w:val="20"/>
          <w:u w:val="single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Փոփոխության նկարագրություն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Սուբվենցիայի փաթեթում փոփոխություն կատարելու պատճառով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rPr>
          <w:rFonts w:ascii="Microsoft New Tai Lue" w:cs="Microsoft New Tai Lue" w:eastAsia="Microsoft New Tai Lue" w:hAnsi="Microsoft New Tai Lue"/>
          <w:sz w:val="12"/>
          <w:szCs w:val="12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կատարված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փոփոխության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մանրամասն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բովանդակությունը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360" w:lineRule="auto"/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  <w:u w:val="single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Փոփոխությանհիմնավորում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ab/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հրավերի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1-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ին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մասի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3-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րդ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բաժնի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3</w:t>
      </w:r>
      <w:r w:rsidDel="00000000" w:rsidR="00000000" w:rsidRPr="00000000">
        <w:rPr>
          <w:rFonts w:ascii="GHEA Grapalat" w:cs="GHEA Grapalat" w:eastAsia="GHEA Grapalat" w:hAnsi="GHEA Grapalat"/>
          <w:sz w:val="20"/>
          <w:szCs w:val="20"/>
          <w:u w:val="single"/>
          <w:rtl w:val="0"/>
        </w:rPr>
        <w:t xml:space="preserve">․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4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կետի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հիման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u w:val="single"/>
          <w:rtl w:val="0"/>
        </w:rPr>
        <w:t xml:space="preserve">վրա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A">
      <w:pPr>
        <w:ind w:firstLine="709"/>
        <w:jc w:val="both"/>
        <w:rPr>
          <w:rFonts w:ascii="Microsoft New Tai Lue" w:cs="Microsoft New Tai Lue" w:eastAsia="Microsoft New Tai Lue" w:hAnsi="Microsoft New Tai Lue"/>
          <w:sz w:val="12"/>
          <w:szCs w:val="12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ab/>
        <w:tab/>
        <w:tab/>
        <w:tab/>
        <w:tab/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փոփոխության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կատարման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հիմնավորման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մանրամասն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12"/>
          <w:szCs w:val="12"/>
          <w:rtl w:val="0"/>
        </w:rPr>
        <w:t xml:space="preserve">բովանդակությունը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360" w:lineRule="auto"/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Սույն հայտարարության հետ կապված լրացուցիչ տեղեկություններ ստանալո ւհամար կարող եք դիմել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ԼՄԴՀ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ԳՀԱՊՁԲ</w:t>
      </w:r>
      <w:r w:rsidDel="00000000" w:rsidR="00000000" w:rsidRPr="00000000">
        <w:rPr>
          <w:rtl w:val="0"/>
        </w:rPr>
        <w:t xml:space="preserve"> 21/0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ծածկագրով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գնահատող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հանձնաժողովի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քարտուղար Մարգարիտ Չատինյանին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Հայտերի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բացումը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տեղի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կունենա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ՀՀ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Լոռու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մարզ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գ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Դսեղի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Հրապարակ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հասցեում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,  2021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թ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Մայիսի 06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ին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ժամը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12:00-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ին։</w:t>
      </w:r>
      <w:r w:rsidDel="00000000" w:rsidR="00000000" w:rsidRPr="00000000">
        <w:rPr>
          <w:rFonts w:ascii="Arial LatArm" w:cs="Arial LatArm" w:eastAsia="Arial LatArm" w:hAnsi="Arial LatArm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jc w:val="both"/>
        <w:rPr>
          <w:rFonts w:ascii="Microsoft New Tai Lue" w:cs="Microsoft New Tai Lue" w:eastAsia="Microsoft New Tai Lue" w:hAnsi="Microsoft New Tai Lue"/>
          <w:i w:val="1"/>
          <w:sz w:val="20"/>
          <w:szCs w:val="20"/>
        </w:rPr>
      </w:pPr>
      <w:r w:rsidDel="00000000" w:rsidR="00000000" w:rsidRPr="00000000">
        <w:rPr>
          <w:rFonts w:ascii="Microsoft New Tai Lue" w:cs="Microsoft New Tai Lue" w:eastAsia="Microsoft New Tai Lue" w:hAnsi="Microsoft New Tai Lue"/>
          <w:sz w:val="12"/>
          <w:szCs w:val="1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360" w:lineRule="auto"/>
        <w:ind w:firstLine="709"/>
        <w:jc w:val="both"/>
        <w:rPr>
          <w:rFonts w:ascii="Microsoft New Tai Lue" w:cs="Microsoft New Tai Lue" w:eastAsia="Microsoft New Tai Lue" w:hAnsi="Microsoft New Tai Lue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Հեռախոս՝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+37493504392</w:t>
      </w:r>
    </w:p>
    <w:p w:rsidR="00000000" w:rsidDel="00000000" w:rsidP="00000000" w:rsidRDefault="00000000" w:rsidRPr="00000000" w14:paraId="00000021">
      <w:pPr>
        <w:spacing w:after="240" w:line="360" w:lineRule="auto"/>
        <w:ind w:firstLine="709"/>
        <w:jc w:val="both"/>
        <w:rPr>
          <w:rFonts w:ascii="Arial Unicode" w:cs="Arial Unicode" w:eastAsia="Arial Unicode" w:hAnsi="Arial Unicode"/>
          <w:sz w:val="20"/>
          <w:szCs w:val="20"/>
        </w:rPr>
      </w:pP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Էլեկոտրանային</w:t>
      </w:r>
      <w:r w:rsidDel="00000000" w:rsidR="00000000" w:rsidRPr="00000000">
        <w:rPr>
          <w:rFonts w:ascii="Microsoft New Tai Lue" w:cs="Microsoft New Tai Lue" w:eastAsia="Microsoft New Tai Lue" w:hAnsi="Microsoft New Tai L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" w:cs="Arial Unicode" w:eastAsia="Arial Unicode" w:hAnsi="Arial Unicode"/>
          <w:sz w:val="20"/>
          <w:szCs w:val="20"/>
          <w:rtl w:val="0"/>
        </w:rPr>
        <w:t xml:space="preserve">փոստ՝ </w:t>
      </w:r>
      <w:r w:rsidDel="00000000" w:rsidR="00000000" w:rsidRPr="00000000">
        <w:rPr>
          <w:rFonts w:ascii="Helvetica Neue" w:cs="Helvetica Neue" w:eastAsia="Helvetica Neue" w:hAnsi="Helvetica Neue"/>
          <w:color w:val="5f6368"/>
          <w:sz w:val="21"/>
          <w:szCs w:val="21"/>
          <w:highlight w:val="white"/>
          <w:rtl w:val="0"/>
        </w:rPr>
        <w:t xml:space="preserve">dsegh.tim@gmail.com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284" w:top="284" w:left="90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Arial Armenian"/>
  <w:font w:name="Arial LatArm"/>
  <w:font w:name="Georgia"/>
  <w:font w:name="Arial Unicode"/>
  <w:font w:name="Microsoft New Tai Lue"/>
  <w:font w:name="Merriweather"/>
  <w:font w:name="Times New Roman"/>
  <w:font w:name="GHEA Grapalat"/>
  <w:font w:name="Arial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af-Z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Armenian" w:cs="Arial Armenian" w:eastAsia="Arial Armenian" w:hAnsi="Arial Armeni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 LatArm" w:cs="Arial LatArm" w:eastAsia="Arial LatArm" w:hAnsi="Arial LatArm"/>
      <w:b w:val="1"/>
      <w:color w:val="0000ff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firstLine="720"/>
      <w:jc w:val="center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 LatArm" w:cs="Arial LatArm" w:eastAsia="Arial LatArm" w:hAnsi="Arial LatArm"/>
      <w:i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 LatArm" w:cs="Arial LatArm" w:eastAsia="Arial LatArm" w:hAnsi="Arial LatArm"/>
      <w:b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</w:pPr>
    <w:rPr>
      <w:rFonts w:ascii="Arial LatArm" w:cs="Arial LatArm" w:eastAsia="Arial LatArm" w:hAnsi="Arial LatArm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rial Armenian" w:cs="Arial Armenian" w:eastAsia="Arial Armenian" w:hAnsi="Arial Armeni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