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ՋՏՄ-ՊԾԷԱՃ-ԱՊՁԲ-2021/1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«գրենական պիտույքներ»-ի ձեռքբերման նպատակով  հայտարարված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060501560</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l.chakhoyan@atdf.am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ՋՏՄ-ՊԾԷԱՃ-ԱՊՁԲ-2021/1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«գրենական պիտույքներ»-ի ձեռքբերման նպատակով  հայտարարված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«գրենական պիտույքներ»-ի ձեռքբերման նպատակով  հայտարարված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ՋՏՄ-ՊԾԷԱՃ-ԱՊՁԲ-2021/1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l.chakhoyan@atdf.am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«գրենական պիտույքներ»-ի ձեռքբերման նպատակով  հայտարարված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ՋՏՄ-ՊԾԷԱՃ-ԱՊՁԲ-2021/1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ՋՏՄ-ՊԾԷԱՃ-ԱՊՁԲ-2021/1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«ՋՏՄ-ՊԾԷԱՃ-ԱՊՁԲ-2021/1»*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ՋՏՄ-ՊԾԷԱՃ-ԱՊՁԲ-2021/1*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900000903709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«ՋՏՄ-ՊԾԷԱՃ-ԱՊՁԲ-2021/1»*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ՋՏՄ-ՊԾԷԱՃ-ԱՊՁԲ-2021/1*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900000903709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ՋՏՄ-ՊԾԷԱՃ-ԱՊՁԲ-2021/1</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30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Casio SA-4700H մոդելի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Energiser կամ Durasel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Energiser կամ Durasel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Topball Gello 0.5 գրիչ գնդիկավոր կամ համարժեքը , ճտիկով, 0.5մմ ծայրով, կապույտ գույնի 150 հատ, կարմիր գույնի 25, սև գույնի 25, գելային, պլաստմասե կաղապարով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թանաքի բարձիկ,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խտությունը՝ 80գ/մ2,գրելու,գույնը՝ սպիտակ, սպիտակությունը ոչ պակաս 110%, չափերը 9*9*9*սմ, թղթերը լինեն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գրաֆիտե միջուկով, սեւ
 (Չ/Մ-ի հատը համարժեք է տուփի,որի մեջ 12մատիտ է):
HB-կոշտության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բռնակներով, կարած փաստաթղթերի ասեղները անվնաս հեռացնելու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Թուղթ`գրասենյակային, խտությունը` 80գ/քմ, պայծառությունը՝ 100%, հաստությունը առնվազն 106 մկմ, սպիտակությունը 96%, 1 տուփը 5կգ և փաթեթում քանակը 500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Վարդանանց փկ 8,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